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charts/chart3.xml" ContentType="application/vnd.openxmlformats-officedocument.drawingml.chart+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Default Extension="wmf" ContentType="image/x-wmf"/>
  <Override PartName="/word/fontTable.xml" ContentType="application/vnd.openxmlformats-officedocument.wordprocessingml.fontTable+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charts/chart2.xml" ContentType="application/vnd.openxmlformats-officedocument.drawingml.chart+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word/charts/chart4.xml" ContentType="application/vnd.openxmlformats-officedocument.drawingml.chart+xml"/>
  <Default Extension="package" ContentType="application/vnd.openxmlformats-officedocument.package"/>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C47D4" w:rsidRPr="00D76CEF" w:rsidRDefault="000C47D4">
      <w:pPr>
        <w:pStyle w:val="Heading1"/>
        <w:jc w:val="center"/>
      </w:pPr>
    </w:p>
    <w:p w:rsidR="000C47D4" w:rsidRPr="00D76CEF" w:rsidRDefault="009E4804">
      <w:pPr>
        <w:pStyle w:val="Header"/>
        <w:jc w:val="center"/>
        <w:rPr>
          <w:b/>
          <w:bCs/>
        </w:rPr>
      </w:pPr>
      <w:r w:rsidRPr="00D76CEF">
        <w:rPr>
          <w:b/>
          <w:bCs/>
        </w:rPr>
        <w:t>The Headwaters of the Llano</w:t>
      </w:r>
    </w:p>
    <w:p w:rsidR="000C47D4" w:rsidRPr="00D76CEF" w:rsidRDefault="000C47D4">
      <w:pPr>
        <w:pStyle w:val="Header"/>
        <w:jc w:val="center"/>
      </w:pPr>
    </w:p>
    <w:p w:rsidR="000C47D4" w:rsidRPr="00D76CEF" w:rsidRDefault="000C47D4">
      <w:pPr>
        <w:pStyle w:val="Header"/>
        <w:jc w:val="center"/>
      </w:pPr>
    </w:p>
    <w:p w:rsidR="000C47D4" w:rsidRPr="00D76CEF" w:rsidRDefault="000C47D4">
      <w:pPr>
        <w:pStyle w:val="Header"/>
        <w:jc w:val="center"/>
      </w:pPr>
    </w:p>
    <w:p w:rsidR="009E4804" w:rsidRPr="00D76CEF" w:rsidRDefault="000C47D4">
      <w:pPr>
        <w:pStyle w:val="Header"/>
        <w:jc w:val="center"/>
        <w:rPr>
          <w:b/>
          <w:bCs/>
        </w:rPr>
      </w:pPr>
      <w:r w:rsidRPr="00D76CEF">
        <w:rPr>
          <w:b/>
          <w:bCs/>
        </w:rPr>
        <w:t xml:space="preserve">A </w:t>
      </w:r>
      <w:r w:rsidR="00594AE3" w:rsidRPr="00D76CEF">
        <w:rPr>
          <w:b/>
          <w:bCs/>
        </w:rPr>
        <w:t xml:space="preserve">CHARACTERIZATION AND </w:t>
      </w:r>
      <w:r w:rsidR="009E4804" w:rsidRPr="00D76CEF">
        <w:rPr>
          <w:b/>
          <w:bCs/>
        </w:rPr>
        <w:t xml:space="preserve">COMPARISON </w:t>
      </w:r>
      <w:r w:rsidRPr="00D76CEF">
        <w:rPr>
          <w:b/>
          <w:bCs/>
        </w:rPr>
        <w:t xml:space="preserve">OF THE </w:t>
      </w:r>
      <w:r w:rsidR="009E4804" w:rsidRPr="00D76CEF">
        <w:rPr>
          <w:b/>
          <w:bCs/>
        </w:rPr>
        <w:t>RIVERS, SPRINGS AN</w:t>
      </w:r>
      <w:r w:rsidR="004D20A6" w:rsidRPr="00D76CEF">
        <w:rPr>
          <w:b/>
          <w:bCs/>
        </w:rPr>
        <w:t>D WATERSHEDS OF THE NORTH AND SOUTH LLANO</w:t>
      </w:r>
    </w:p>
    <w:p w:rsidR="009E4804" w:rsidRPr="00D76CEF" w:rsidRDefault="009E4804">
      <w:pPr>
        <w:pStyle w:val="Header"/>
        <w:jc w:val="center"/>
        <w:rPr>
          <w:b/>
          <w:bCs/>
        </w:rPr>
      </w:pPr>
    </w:p>
    <w:p w:rsidR="000C47D4" w:rsidRPr="00D76CEF" w:rsidRDefault="000C47D4">
      <w:pPr>
        <w:pStyle w:val="Heading1"/>
        <w:jc w:val="center"/>
      </w:pPr>
    </w:p>
    <w:p w:rsidR="000C47D4" w:rsidRPr="00D76CEF" w:rsidRDefault="000C47D4">
      <w:pPr>
        <w:jc w:val="center"/>
      </w:pPr>
    </w:p>
    <w:p w:rsidR="000C47D4" w:rsidRPr="00D76CEF" w:rsidRDefault="000C47D4">
      <w:pPr>
        <w:jc w:val="center"/>
      </w:pPr>
    </w:p>
    <w:p w:rsidR="00D76CEF" w:rsidRDefault="00D76CEF">
      <w:pPr>
        <w:jc w:val="center"/>
      </w:pPr>
    </w:p>
    <w:p w:rsidR="00D76CEF" w:rsidRDefault="00D76CEF">
      <w:pPr>
        <w:jc w:val="center"/>
      </w:pPr>
    </w:p>
    <w:p w:rsidR="00D76CEF" w:rsidRDefault="00D76CEF">
      <w:pPr>
        <w:jc w:val="center"/>
      </w:pPr>
    </w:p>
    <w:p w:rsidR="00D76CEF" w:rsidRDefault="00D76CEF">
      <w:pPr>
        <w:jc w:val="center"/>
      </w:pPr>
    </w:p>
    <w:p w:rsidR="00D76CEF" w:rsidRDefault="00D76CEF">
      <w:pPr>
        <w:jc w:val="center"/>
      </w:pPr>
    </w:p>
    <w:p w:rsidR="000D2BBE" w:rsidRDefault="000D2BBE">
      <w:pPr>
        <w:jc w:val="center"/>
      </w:pPr>
    </w:p>
    <w:p w:rsidR="000D2BBE" w:rsidRDefault="000D2BBE" w:rsidP="000D2BBE">
      <w:pPr>
        <w:pStyle w:val="NormalIndent"/>
      </w:pPr>
    </w:p>
    <w:p w:rsidR="000D2BBE" w:rsidRDefault="000D2BBE" w:rsidP="000D2BBE">
      <w:pPr>
        <w:pStyle w:val="NormalIndent"/>
      </w:pPr>
    </w:p>
    <w:p w:rsidR="00D76CEF" w:rsidRPr="000D2BBE" w:rsidRDefault="00D76CEF" w:rsidP="000D2BBE">
      <w:pPr>
        <w:pStyle w:val="NormalIndent"/>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D2BBE" w:rsidRDefault="000D2BBE">
      <w:pPr>
        <w:jc w:val="center"/>
      </w:pPr>
    </w:p>
    <w:p w:rsidR="000D2BBE" w:rsidRDefault="000D2BBE" w:rsidP="000D2BBE">
      <w:pPr>
        <w:pStyle w:val="NormalIndent"/>
      </w:pPr>
    </w:p>
    <w:p w:rsidR="000D2BBE" w:rsidRDefault="000D2BBE" w:rsidP="000D2BBE">
      <w:pPr>
        <w:pStyle w:val="NormalIndent"/>
      </w:pPr>
    </w:p>
    <w:p w:rsidR="000D2BBE" w:rsidRDefault="000D2BBE" w:rsidP="000D2BBE">
      <w:pPr>
        <w:pStyle w:val="NormalIndent"/>
      </w:pPr>
    </w:p>
    <w:p w:rsidR="000D2BBE" w:rsidRDefault="000D2BBE" w:rsidP="000D2BBE">
      <w:pPr>
        <w:pStyle w:val="NormalIndent"/>
      </w:pPr>
    </w:p>
    <w:p w:rsidR="000C47D4" w:rsidRPr="000D2BBE" w:rsidRDefault="000C47D4" w:rsidP="000D2BBE">
      <w:pPr>
        <w:pStyle w:val="NormalIndent"/>
      </w:pPr>
    </w:p>
    <w:p w:rsidR="000C47D4" w:rsidRPr="00D76CEF" w:rsidRDefault="000D2BBE">
      <w:pPr>
        <w:pStyle w:val="Header"/>
        <w:jc w:val="center"/>
      </w:pPr>
      <w:r w:rsidRPr="00D76CEF">
        <w:rPr>
          <w:noProof/>
        </w:rPr>
        <w:drawing>
          <wp:inline distT="0" distB="0" distL="0" distR="0">
            <wp:extent cx="1087967" cy="1638660"/>
            <wp:effectExtent l="25400" t="0" r="4233" b="0"/>
            <wp:docPr id="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
                    <a:srcRect/>
                    <a:stretch>
                      <a:fillRect/>
                    </a:stretch>
                  </pic:blipFill>
                  <pic:spPr bwMode="auto">
                    <a:xfrm>
                      <a:off x="0" y="0"/>
                      <a:ext cx="1087967" cy="1638660"/>
                    </a:xfrm>
                    <a:prstGeom prst="rect">
                      <a:avLst/>
                    </a:prstGeom>
                    <a:noFill/>
                    <a:ln w="9525">
                      <a:noFill/>
                      <a:miter lim="800000"/>
                      <a:headEnd/>
                      <a:tailEnd/>
                    </a:ln>
                  </pic:spPr>
                </pic:pic>
              </a:graphicData>
            </a:graphic>
          </wp:inline>
        </w:drawing>
      </w:r>
      <w:r w:rsidR="000C47D4" w:rsidRPr="00D76CEF">
        <w:br w:type="page"/>
      </w: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er"/>
      </w:pPr>
    </w:p>
    <w:p w:rsidR="000C47D4" w:rsidRPr="00D76CEF" w:rsidRDefault="000C47D4">
      <w:pPr>
        <w:pStyle w:val="Heading2"/>
        <w:jc w:val="center"/>
        <w:rPr>
          <w:b/>
          <w:bCs/>
          <w:i w:val="0"/>
          <w:iCs w:val="0"/>
        </w:rPr>
      </w:pPr>
      <w:r w:rsidRPr="00D76CEF">
        <w:br w:type="page"/>
      </w:r>
      <w:r w:rsidR="004D20A6" w:rsidRPr="00D76CEF">
        <w:rPr>
          <w:b/>
          <w:bCs/>
          <w:i w:val="0"/>
          <w:iCs w:val="0"/>
        </w:rPr>
        <w:t>The Hea</w:t>
      </w:r>
      <w:r w:rsidR="009E4804" w:rsidRPr="00D76CEF">
        <w:rPr>
          <w:b/>
          <w:bCs/>
          <w:i w:val="0"/>
          <w:iCs w:val="0"/>
        </w:rPr>
        <w:t>dwater</w:t>
      </w:r>
      <w:r w:rsidR="004D20A6" w:rsidRPr="00D76CEF">
        <w:rPr>
          <w:b/>
          <w:bCs/>
          <w:i w:val="0"/>
          <w:iCs w:val="0"/>
        </w:rPr>
        <w:t>s</w:t>
      </w:r>
      <w:r w:rsidR="009E4804" w:rsidRPr="00D76CEF">
        <w:rPr>
          <w:b/>
          <w:bCs/>
          <w:i w:val="0"/>
          <w:iCs w:val="0"/>
        </w:rPr>
        <w:t xml:space="preserve"> of the Llano</w:t>
      </w:r>
    </w:p>
    <w:p w:rsidR="000C47D4" w:rsidRPr="00D76CEF" w:rsidRDefault="000C47D4">
      <w:pPr>
        <w:jc w:val="center"/>
      </w:pPr>
    </w:p>
    <w:p w:rsidR="004D20A6" w:rsidRPr="00D76CEF" w:rsidRDefault="004D20A6" w:rsidP="004D20A6">
      <w:pPr>
        <w:pStyle w:val="Header"/>
        <w:jc w:val="center"/>
        <w:rPr>
          <w:b/>
          <w:bCs/>
          <w:u w:val="single"/>
        </w:rPr>
      </w:pPr>
      <w:r w:rsidRPr="00D76CEF">
        <w:rPr>
          <w:b/>
          <w:bCs/>
        </w:rPr>
        <w:t xml:space="preserve">A </w:t>
      </w:r>
      <w:r w:rsidR="00594AE3" w:rsidRPr="00D76CEF">
        <w:rPr>
          <w:b/>
          <w:bCs/>
        </w:rPr>
        <w:t xml:space="preserve">CHARACTERIZATION AND </w:t>
      </w:r>
      <w:r w:rsidRPr="00D76CEF">
        <w:rPr>
          <w:b/>
          <w:bCs/>
        </w:rPr>
        <w:t>COMPARISON OF THE RIVERS, SPRINGS AND WATERSHEDS OF THE NORTH AND SOUTH LLANO</w:t>
      </w: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4D20A6" w:rsidRPr="00D76CEF" w:rsidRDefault="000C47D4">
      <w:pPr>
        <w:jc w:val="center"/>
      </w:pPr>
      <w:r w:rsidRPr="00D76CEF">
        <w:t xml:space="preserve">Prepared for </w:t>
      </w:r>
      <w:r w:rsidR="009E4804" w:rsidRPr="00D76CEF">
        <w:t xml:space="preserve">South Llano Watershed Alliance </w:t>
      </w:r>
    </w:p>
    <w:p w:rsidR="000C47D4" w:rsidRPr="00D76CEF" w:rsidRDefault="004D20A6">
      <w:pPr>
        <w:jc w:val="center"/>
      </w:pPr>
      <w:proofErr w:type="gramStart"/>
      <w:r w:rsidRPr="00D76CEF">
        <w:t>in</w:t>
      </w:r>
      <w:proofErr w:type="gramEnd"/>
      <w:r w:rsidRPr="00D76CEF">
        <w:t xml:space="preserve"> conjunction</w:t>
      </w:r>
      <w:r w:rsidR="009E4804" w:rsidRPr="00D76CEF">
        <w:t xml:space="preserve"> Texas Parks and Wildlife Department</w:t>
      </w:r>
    </w:p>
    <w:p w:rsidR="000C47D4" w:rsidRPr="00D76CEF" w:rsidRDefault="000C47D4">
      <w:pPr>
        <w:jc w:val="center"/>
      </w:pPr>
      <w:proofErr w:type="gramStart"/>
      <w:r w:rsidRPr="00D76CEF">
        <w:t>by</w:t>
      </w:r>
      <w:proofErr w:type="gramEnd"/>
      <w:r w:rsidRPr="00D76CEF">
        <w:t xml:space="preserve"> Tyson Broad</w:t>
      </w: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pPr>
    </w:p>
    <w:p w:rsidR="000C47D4" w:rsidRPr="00D76CEF" w:rsidRDefault="000C47D4">
      <w:pPr>
        <w:jc w:val="center"/>
        <w:rPr>
          <w:rFonts w:cs="Arial"/>
          <w:szCs w:val="20"/>
        </w:rPr>
      </w:pPr>
    </w:p>
    <w:p w:rsidR="000C47D4" w:rsidRPr="00D76CEF" w:rsidRDefault="000C47D4">
      <w:pPr>
        <w:jc w:val="center"/>
        <w:rPr>
          <w:rFonts w:cs="Arial"/>
          <w:szCs w:val="20"/>
        </w:rPr>
      </w:pPr>
      <w:r w:rsidRPr="00D76CEF">
        <w:rPr>
          <w:rFonts w:cs="Arial"/>
          <w:szCs w:val="20"/>
        </w:rPr>
        <w:br w:type="page"/>
      </w: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rFonts w:cs="Arial"/>
          <w:szCs w:val="20"/>
        </w:rPr>
      </w:pPr>
    </w:p>
    <w:p w:rsidR="000C47D4" w:rsidRPr="00D76CEF" w:rsidRDefault="000C47D4">
      <w:pPr>
        <w:rPr>
          <w:i/>
          <w:sz w:val="20"/>
          <w:szCs w:val="20"/>
        </w:rPr>
      </w:pPr>
      <w:r w:rsidRPr="00D76CEF">
        <w:rPr>
          <w:i/>
          <w:sz w:val="20"/>
          <w:szCs w:val="20"/>
        </w:rPr>
        <w:t>Our mission</w:t>
      </w:r>
    </w:p>
    <w:p w:rsidR="000C47D4" w:rsidRPr="00D76CEF" w:rsidRDefault="004D20A6">
      <w:pPr>
        <w:jc w:val="both"/>
        <w:rPr>
          <w:sz w:val="20"/>
          <w:szCs w:val="20"/>
        </w:rPr>
      </w:pPr>
      <w:r w:rsidRPr="00D76CEF">
        <w:rPr>
          <w:sz w:val="20"/>
          <w:szCs w:val="20"/>
        </w:rPr>
        <w:t xml:space="preserve">The South Llano Watershed Alliance is an organization of landowners and interested stakeholders whose mission is to preserve and enhance the South Llano River and adjoining watersheds by encouraging land and water stewardship through collaboration, education, and community </w:t>
      </w:r>
      <w:r w:rsidR="00D76CEF" w:rsidRPr="00D76CEF">
        <w:rPr>
          <w:sz w:val="20"/>
          <w:szCs w:val="20"/>
        </w:rPr>
        <w:t>participation</w:t>
      </w:r>
    </w:p>
    <w:p w:rsidR="000C47D4" w:rsidRPr="00D76CEF" w:rsidRDefault="000C47D4">
      <w:pPr>
        <w:rPr>
          <w:sz w:val="20"/>
          <w:szCs w:val="20"/>
        </w:rPr>
      </w:pPr>
    </w:p>
    <w:p w:rsidR="000C47D4" w:rsidRPr="00D76CEF" w:rsidRDefault="004D20A6">
      <w:pPr>
        <w:rPr>
          <w:sz w:val="20"/>
          <w:szCs w:val="20"/>
        </w:rPr>
      </w:pPr>
      <w:r w:rsidRPr="00D76CEF">
        <w:rPr>
          <w:sz w:val="20"/>
          <w:szCs w:val="20"/>
        </w:rPr>
        <w:t>©2012 South Llano Watershed Alliance</w:t>
      </w:r>
    </w:p>
    <w:p w:rsidR="000C47D4" w:rsidRPr="00D76CEF" w:rsidRDefault="000C47D4">
      <w:pPr>
        <w:rPr>
          <w:sz w:val="20"/>
          <w:szCs w:val="20"/>
        </w:rPr>
      </w:pPr>
    </w:p>
    <w:p w:rsidR="004D20A6" w:rsidRPr="00D76CEF" w:rsidRDefault="000C47D4">
      <w:pPr>
        <w:rPr>
          <w:sz w:val="20"/>
          <w:szCs w:val="20"/>
        </w:rPr>
      </w:pPr>
      <w:r w:rsidRPr="00D76CEF">
        <w:rPr>
          <w:sz w:val="20"/>
          <w:szCs w:val="20"/>
        </w:rPr>
        <w:t xml:space="preserve">This report is available online at </w:t>
      </w:r>
      <w:hyperlink r:id="rId8" w:history="1">
        <w:r w:rsidR="004D20A6" w:rsidRPr="00D76CEF">
          <w:rPr>
            <w:rStyle w:val="Hyperlink"/>
            <w:sz w:val="20"/>
            <w:szCs w:val="20"/>
          </w:rPr>
          <w:t>www.southllano.org</w:t>
        </w:r>
      </w:hyperlink>
    </w:p>
    <w:p w:rsidR="004D20A6" w:rsidRPr="00D76CEF" w:rsidRDefault="004D20A6">
      <w:pPr>
        <w:rPr>
          <w:szCs w:val="20"/>
        </w:rPr>
      </w:pPr>
    </w:p>
    <w:p w:rsidR="000C47D4" w:rsidRPr="00D76CEF" w:rsidRDefault="000C47D4">
      <w:pPr>
        <w:rPr>
          <w:szCs w:val="20"/>
        </w:rPr>
      </w:pPr>
    </w:p>
    <w:p w:rsidR="000C47D4" w:rsidRPr="00D76CEF" w:rsidRDefault="000C47D4">
      <w:pPr>
        <w:pStyle w:val="Header"/>
        <w:rPr>
          <w:b/>
          <w:bCs/>
        </w:rPr>
      </w:pPr>
      <w:r w:rsidRPr="00D76CEF">
        <w:rPr>
          <w:b/>
          <w:bCs/>
        </w:rPr>
        <w:t>TABLE OF CONTENTS</w:t>
      </w:r>
    </w:p>
    <w:p w:rsidR="000C47D4" w:rsidRPr="00D76CEF" w:rsidRDefault="000C47D4">
      <w:pPr>
        <w:pStyle w:val="Heading2"/>
        <w:rPr>
          <w:b/>
          <w:bCs/>
        </w:rPr>
      </w:pPr>
    </w:p>
    <w:p w:rsidR="000C47D4" w:rsidRPr="00D76CEF" w:rsidRDefault="000C47D4">
      <w:pPr>
        <w:ind w:right="-180"/>
      </w:pPr>
      <w:r w:rsidRPr="00D76CEF">
        <w:tab/>
      </w:r>
    </w:p>
    <w:p w:rsidR="000C47D4" w:rsidRPr="00D76CEF" w:rsidRDefault="00252C82">
      <w:pPr>
        <w:pStyle w:val="TOC1"/>
        <w:tabs>
          <w:tab w:val="right" w:leader="dot" w:pos="8270"/>
        </w:tabs>
        <w:rPr>
          <w:noProof/>
        </w:rPr>
      </w:pPr>
      <w:r w:rsidRPr="00D76CEF">
        <w:fldChar w:fldCharType="begin"/>
      </w:r>
      <w:r w:rsidR="000C47D4" w:rsidRPr="00D76CEF">
        <w:instrText xml:space="preserve"> TOC \o "1-1" \h \z </w:instrText>
      </w:r>
      <w:r w:rsidRPr="00D76CEF">
        <w:fldChar w:fldCharType="separate"/>
      </w:r>
      <w:hyperlink w:anchor="_Toc208652447" w:history="1">
        <w:r w:rsidR="000C47D4" w:rsidRPr="00D76CEF">
          <w:rPr>
            <w:rStyle w:val="Hyperlink"/>
            <w:noProof/>
          </w:rPr>
          <w:t>SUMMARY</w:t>
        </w:r>
        <w:r w:rsidR="000C47D4" w:rsidRPr="00D76CEF">
          <w:rPr>
            <w:noProof/>
            <w:webHidden/>
          </w:rPr>
          <w:tab/>
        </w:r>
        <w:r w:rsidRPr="00D76CEF">
          <w:rPr>
            <w:noProof/>
            <w:webHidden/>
          </w:rPr>
          <w:fldChar w:fldCharType="begin"/>
        </w:r>
        <w:r w:rsidR="000C47D4" w:rsidRPr="00D76CEF">
          <w:rPr>
            <w:noProof/>
            <w:webHidden/>
          </w:rPr>
          <w:instrText xml:space="preserve"> PAGEREF _Toc208652447 \h </w:instrText>
        </w:r>
        <w:r w:rsidR="003450AF">
          <w:rPr>
            <w:noProof/>
          </w:rPr>
        </w:r>
        <w:r w:rsidRPr="00D76CEF">
          <w:rPr>
            <w:noProof/>
            <w:webHidden/>
          </w:rPr>
          <w:fldChar w:fldCharType="separate"/>
        </w:r>
        <w:r w:rsidR="000C47D4" w:rsidRPr="00D76CEF">
          <w:rPr>
            <w:noProof/>
            <w:webHidden/>
          </w:rPr>
          <w:t>7</w:t>
        </w:r>
        <w:r w:rsidRPr="00D76CEF">
          <w:rPr>
            <w:noProof/>
            <w:webHidden/>
          </w:rPr>
          <w:fldChar w:fldCharType="end"/>
        </w:r>
      </w:hyperlink>
    </w:p>
    <w:p w:rsidR="000C47D4" w:rsidRPr="00D76CEF" w:rsidRDefault="00252C82">
      <w:pPr>
        <w:pStyle w:val="TOC1"/>
        <w:tabs>
          <w:tab w:val="right" w:leader="dot" w:pos="8270"/>
        </w:tabs>
        <w:rPr>
          <w:noProof/>
        </w:rPr>
      </w:pPr>
      <w:hyperlink w:anchor="_Toc208652448" w:history="1">
        <w:r w:rsidR="000C47D4" w:rsidRPr="00D76CEF">
          <w:rPr>
            <w:rStyle w:val="Hyperlink"/>
            <w:noProof/>
          </w:rPr>
          <w:t>INTRODUCTION</w:t>
        </w:r>
        <w:r w:rsidR="000C47D4" w:rsidRPr="00D76CEF">
          <w:rPr>
            <w:noProof/>
            <w:webHidden/>
          </w:rPr>
          <w:tab/>
        </w:r>
        <w:r w:rsidRPr="00D76CEF">
          <w:rPr>
            <w:noProof/>
            <w:webHidden/>
          </w:rPr>
          <w:fldChar w:fldCharType="begin"/>
        </w:r>
        <w:r w:rsidR="000C47D4" w:rsidRPr="00D76CEF">
          <w:rPr>
            <w:noProof/>
            <w:webHidden/>
          </w:rPr>
          <w:instrText xml:space="preserve"> PAGEREF _Toc208652448 \h </w:instrText>
        </w:r>
        <w:r w:rsidR="003450AF">
          <w:rPr>
            <w:noProof/>
          </w:rPr>
        </w:r>
        <w:r w:rsidRPr="00D76CEF">
          <w:rPr>
            <w:noProof/>
            <w:webHidden/>
          </w:rPr>
          <w:fldChar w:fldCharType="separate"/>
        </w:r>
        <w:r w:rsidR="000C47D4" w:rsidRPr="00D76CEF">
          <w:rPr>
            <w:noProof/>
            <w:webHidden/>
          </w:rPr>
          <w:t>8</w:t>
        </w:r>
        <w:r w:rsidRPr="00D76CEF">
          <w:rPr>
            <w:noProof/>
            <w:webHidden/>
          </w:rPr>
          <w:fldChar w:fldCharType="end"/>
        </w:r>
      </w:hyperlink>
    </w:p>
    <w:p w:rsidR="000C47D4" w:rsidRPr="00D76CEF" w:rsidRDefault="00252C82">
      <w:pPr>
        <w:pStyle w:val="TOC1"/>
        <w:tabs>
          <w:tab w:val="right" w:leader="dot" w:pos="8270"/>
        </w:tabs>
        <w:rPr>
          <w:noProof/>
        </w:rPr>
      </w:pPr>
      <w:hyperlink w:anchor="_Toc208652449" w:history="1">
        <w:r w:rsidR="000C47D4" w:rsidRPr="00D76CEF">
          <w:rPr>
            <w:rStyle w:val="Hyperlink"/>
            <w:noProof/>
          </w:rPr>
          <w:t>GENERAL DESCRIPTION</w:t>
        </w:r>
        <w:r w:rsidR="000C47D4" w:rsidRPr="00D76CEF">
          <w:rPr>
            <w:noProof/>
            <w:webHidden/>
          </w:rPr>
          <w:tab/>
        </w:r>
        <w:r w:rsidRPr="00D76CEF">
          <w:rPr>
            <w:noProof/>
            <w:webHidden/>
          </w:rPr>
          <w:fldChar w:fldCharType="begin"/>
        </w:r>
        <w:r w:rsidR="000C47D4" w:rsidRPr="00D76CEF">
          <w:rPr>
            <w:noProof/>
            <w:webHidden/>
          </w:rPr>
          <w:instrText xml:space="preserve"> PAGEREF _Toc208652449 \h </w:instrText>
        </w:r>
        <w:r w:rsidR="003450AF">
          <w:rPr>
            <w:noProof/>
          </w:rPr>
        </w:r>
        <w:r w:rsidRPr="00D76CEF">
          <w:rPr>
            <w:noProof/>
            <w:webHidden/>
          </w:rPr>
          <w:fldChar w:fldCharType="separate"/>
        </w:r>
        <w:r w:rsidR="000C47D4" w:rsidRPr="00D76CEF">
          <w:rPr>
            <w:noProof/>
            <w:webHidden/>
          </w:rPr>
          <w:t>8</w:t>
        </w:r>
        <w:r w:rsidRPr="00D76CEF">
          <w:rPr>
            <w:noProof/>
            <w:webHidden/>
          </w:rPr>
          <w:fldChar w:fldCharType="end"/>
        </w:r>
      </w:hyperlink>
    </w:p>
    <w:p w:rsidR="000C47D4" w:rsidRPr="00D76CEF" w:rsidRDefault="00252C82">
      <w:pPr>
        <w:pStyle w:val="TOC1"/>
        <w:tabs>
          <w:tab w:val="right" w:leader="dot" w:pos="8270"/>
        </w:tabs>
        <w:rPr>
          <w:noProof/>
        </w:rPr>
      </w:pPr>
      <w:hyperlink w:anchor="_Toc208652450" w:history="1">
        <w:r w:rsidR="000C47D4" w:rsidRPr="00D76CEF">
          <w:rPr>
            <w:rStyle w:val="Hyperlink"/>
            <w:noProof/>
          </w:rPr>
          <w:t>WATER RESOURCES</w:t>
        </w:r>
        <w:r w:rsidR="000C47D4" w:rsidRPr="00D76CEF">
          <w:rPr>
            <w:noProof/>
            <w:webHidden/>
          </w:rPr>
          <w:tab/>
        </w:r>
        <w:r w:rsidRPr="00D76CEF">
          <w:rPr>
            <w:noProof/>
            <w:webHidden/>
          </w:rPr>
          <w:fldChar w:fldCharType="begin"/>
        </w:r>
        <w:r w:rsidR="000C47D4" w:rsidRPr="00D76CEF">
          <w:rPr>
            <w:noProof/>
            <w:webHidden/>
          </w:rPr>
          <w:instrText xml:space="preserve"> PAGEREF _Toc208652450 \h </w:instrText>
        </w:r>
        <w:r w:rsidR="003450AF">
          <w:rPr>
            <w:noProof/>
          </w:rPr>
        </w:r>
        <w:r w:rsidRPr="00D76CEF">
          <w:rPr>
            <w:noProof/>
            <w:webHidden/>
          </w:rPr>
          <w:fldChar w:fldCharType="separate"/>
        </w:r>
        <w:r w:rsidR="000C47D4" w:rsidRPr="00D76CEF">
          <w:rPr>
            <w:noProof/>
            <w:webHidden/>
          </w:rPr>
          <w:t>10</w:t>
        </w:r>
        <w:r w:rsidRPr="00D76CEF">
          <w:rPr>
            <w:noProof/>
            <w:webHidden/>
          </w:rPr>
          <w:fldChar w:fldCharType="end"/>
        </w:r>
      </w:hyperlink>
    </w:p>
    <w:p w:rsidR="000C47D4" w:rsidRPr="00D76CEF" w:rsidRDefault="00252C82">
      <w:pPr>
        <w:pStyle w:val="TOC1"/>
        <w:tabs>
          <w:tab w:val="right" w:leader="dot" w:pos="8270"/>
        </w:tabs>
        <w:rPr>
          <w:noProof/>
        </w:rPr>
      </w:pPr>
      <w:hyperlink w:anchor="_Toc208652451" w:history="1">
        <w:r w:rsidR="000C47D4" w:rsidRPr="00D76CEF">
          <w:rPr>
            <w:rStyle w:val="Hyperlink"/>
            <w:noProof/>
          </w:rPr>
          <w:t>HABITATS</w:t>
        </w:r>
        <w:r w:rsidR="000C47D4" w:rsidRPr="00D76CEF">
          <w:rPr>
            <w:noProof/>
            <w:webHidden/>
          </w:rPr>
          <w:tab/>
        </w:r>
        <w:r w:rsidRPr="00D76CEF">
          <w:rPr>
            <w:noProof/>
            <w:webHidden/>
          </w:rPr>
          <w:fldChar w:fldCharType="begin"/>
        </w:r>
        <w:r w:rsidR="000C47D4" w:rsidRPr="00D76CEF">
          <w:rPr>
            <w:noProof/>
            <w:webHidden/>
          </w:rPr>
          <w:instrText xml:space="preserve"> PAGEREF _Toc208652451 \h </w:instrText>
        </w:r>
        <w:r w:rsidR="003450AF">
          <w:rPr>
            <w:noProof/>
          </w:rPr>
        </w:r>
        <w:r w:rsidRPr="00D76CEF">
          <w:rPr>
            <w:noProof/>
            <w:webHidden/>
          </w:rPr>
          <w:fldChar w:fldCharType="separate"/>
        </w:r>
        <w:r w:rsidR="000C47D4" w:rsidRPr="00D76CEF">
          <w:rPr>
            <w:noProof/>
            <w:webHidden/>
          </w:rPr>
          <w:t>16</w:t>
        </w:r>
        <w:r w:rsidRPr="00D76CEF">
          <w:rPr>
            <w:noProof/>
            <w:webHidden/>
          </w:rPr>
          <w:fldChar w:fldCharType="end"/>
        </w:r>
      </w:hyperlink>
    </w:p>
    <w:p w:rsidR="000C47D4" w:rsidRPr="00D76CEF" w:rsidRDefault="00252C82">
      <w:pPr>
        <w:pStyle w:val="TOC1"/>
        <w:tabs>
          <w:tab w:val="right" w:leader="dot" w:pos="8270"/>
        </w:tabs>
        <w:rPr>
          <w:noProof/>
        </w:rPr>
      </w:pPr>
      <w:hyperlink w:anchor="_Toc208652452" w:history="1">
        <w:r w:rsidR="000C47D4" w:rsidRPr="00D76CEF">
          <w:rPr>
            <w:rStyle w:val="Hyperlink"/>
            <w:noProof/>
          </w:rPr>
          <w:t>LAND USE</w:t>
        </w:r>
        <w:r w:rsidR="000C47D4" w:rsidRPr="00D76CEF">
          <w:rPr>
            <w:noProof/>
            <w:webHidden/>
          </w:rPr>
          <w:tab/>
        </w:r>
        <w:r w:rsidRPr="00D76CEF">
          <w:rPr>
            <w:noProof/>
            <w:webHidden/>
          </w:rPr>
          <w:fldChar w:fldCharType="begin"/>
        </w:r>
        <w:r w:rsidR="000C47D4" w:rsidRPr="00D76CEF">
          <w:rPr>
            <w:noProof/>
            <w:webHidden/>
          </w:rPr>
          <w:instrText xml:space="preserve"> PAGEREF _Toc208652452 \h </w:instrText>
        </w:r>
        <w:r w:rsidR="003450AF">
          <w:rPr>
            <w:noProof/>
          </w:rPr>
        </w:r>
        <w:r w:rsidRPr="00D76CEF">
          <w:rPr>
            <w:noProof/>
            <w:webHidden/>
          </w:rPr>
          <w:fldChar w:fldCharType="separate"/>
        </w:r>
        <w:r w:rsidR="000C47D4" w:rsidRPr="00D76CEF">
          <w:rPr>
            <w:noProof/>
            <w:webHidden/>
          </w:rPr>
          <w:t>17</w:t>
        </w:r>
        <w:r w:rsidRPr="00D76CEF">
          <w:rPr>
            <w:noProof/>
            <w:webHidden/>
          </w:rPr>
          <w:fldChar w:fldCharType="end"/>
        </w:r>
      </w:hyperlink>
    </w:p>
    <w:p w:rsidR="000C47D4" w:rsidRPr="00D76CEF" w:rsidRDefault="00252C82">
      <w:pPr>
        <w:pStyle w:val="TOC1"/>
        <w:tabs>
          <w:tab w:val="right" w:leader="dot" w:pos="8270"/>
        </w:tabs>
        <w:rPr>
          <w:noProof/>
        </w:rPr>
      </w:pPr>
      <w:hyperlink w:anchor="_Toc208652453" w:history="1">
        <w:r w:rsidR="000C47D4" w:rsidRPr="00D76CEF">
          <w:rPr>
            <w:rStyle w:val="Hyperlink"/>
            <w:noProof/>
          </w:rPr>
          <w:t>WATER MANAGEMENT</w:t>
        </w:r>
        <w:r w:rsidR="000C47D4" w:rsidRPr="00D76CEF">
          <w:rPr>
            <w:noProof/>
            <w:webHidden/>
          </w:rPr>
          <w:tab/>
        </w:r>
        <w:r w:rsidRPr="00D76CEF">
          <w:rPr>
            <w:noProof/>
            <w:webHidden/>
          </w:rPr>
          <w:fldChar w:fldCharType="begin"/>
        </w:r>
        <w:r w:rsidR="000C47D4" w:rsidRPr="00D76CEF">
          <w:rPr>
            <w:noProof/>
            <w:webHidden/>
          </w:rPr>
          <w:instrText xml:space="preserve"> PAGEREF _Toc208652453 \h </w:instrText>
        </w:r>
        <w:r w:rsidR="003450AF">
          <w:rPr>
            <w:noProof/>
          </w:rPr>
        </w:r>
        <w:r w:rsidRPr="00D76CEF">
          <w:rPr>
            <w:noProof/>
            <w:webHidden/>
          </w:rPr>
          <w:fldChar w:fldCharType="separate"/>
        </w:r>
        <w:r w:rsidR="000C47D4" w:rsidRPr="00D76CEF">
          <w:rPr>
            <w:noProof/>
            <w:webHidden/>
          </w:rPr>
          <w:t>20</w:t>
        </w:r>
        <w:r w:rsidRPr="00D76CEF">
          <w:rPr>
            <w:noProof/>
            <w:webHidden/>
          </w:rPr>
          <w:fldChar w:fldCharType="end"/>
        </w:r>
      </w:hyperlink>
    </w:p>
    <w:p w:rsidR="000C47D4" w:rsidRPr="00D76CEF" w:rsidRDefault="00252C82">
      <w:pPr>
        <w:pStyle w:val="TOC1"/>
        <w:tabs>
          <w:tab w:val="right" w:leader="dot" w:pos="8270"/>
        </w:tabs>
        <w:rPr>
          <w:noProof/>
        </w:rPr>
      </w:pPr>
      <w:hyperlink w:anchor="_Toc208652454" w:history="1">
        <w:r w:rsidR="000C47D4" w:rsidRPr="00D76CEF">
          <w:rPr>
            <w:rStyle w:val="Hyperlink"/>
            <w:noProof/>
          </w:rPr>
          <w:t>ONGOING RESEARCH</w:t>
        </w:r>
        <w:r w:rsidR="000C47D4" w:rsidRPr="00D76CEF">
          <w:rPr>
            <w:noProof/>
            <w:webHidden/>
          </w:rPr>
          <w:tab/>
        </w:r>
        <w:r w:rsidRPr="00D76CEF">
          <w:rPr>
            <w:noProof/>
            <w:webHidden/>
          </w:rPr>
          <w:fldChar w:fldCharType="begin"/>
        </w:r>
        <w:r w:rsidR="000C47D4" w:rsidRPr="00D76CEF">
          <w:rPr>
            <w:noProof/>
            <w:webHidden/>
          </w:rPr>
          <w:instrText xml:space="preserve"> PAGEREF _Toc208652454 \h </w:instrText>
        </w:r>
        <w:r w:rsidR="003450AF">
          <w:rPr>
            <w:noProof/>
          </w:rPr>
        </w:r>
        <w:r w:rsidRPr="00D76CEF">
          <w:rPr>
            <w:noProof/>
            <w:webHidden/>
          </w:rPr>
          <w:fldChar w:fldCharType="separate"/>
        </w:r>
        <w:r w:rsidR="000C47D4" w:rsidRPr="00D76CEF">
          <w:rPr>
            <w:noProof/>
            <w:webHidden/>
          </w:rPr>
          <w:t>25</w:t>
        </w:r>
        <w:r w:rsidRPr="00D76CEF">
          <w:rPr>
            <w:noProof/>
            <w:webHidden/>
          </w:rPr>
          <w:fldChar w:fldCharType="end"/>
        </w:r>
      </w:hyperlink>
    </w:p>
    <w:p w:rsidR="000C47D4" w:rsidRPr="00D76CEF" w:rsidRDefault="00252C82">
      <w:pPr>
        <w:pStyle w:val="TOC1"/>
        <w:tabs>
          <w:tab w:val="right" w:leader="dot" w:pos="8270"/>
        </w:tabs>
        <w:rPr>
          <w:noProof/>
        </w:rPr>
      </w:pPr>
      <w:hyperlink w:anchor="_Toc208652455" w:history="1">
        <w:r w:rsidR="000C47D4" w:rsidRPr="00D76CEF">
          <w:rPr>
            <w:rStyle w:val="Hyperlink"/>
            <w:noProof/>
          </w:rPr>
          <w:t>IDENTIFIED WATER RESOURCE ISSUES</w:t>
        </w:r>
        <w:r w:rsidR="000C47D4" w:rsidRPr="00D76CEF">
          <w:rPr>
            <w:noProof/>
            <w:webHidden/>
          </w:rPr>
          <w:tab/>
        </w:r>
        <w:r w:rsidRPr="00D76CEF">
          <w:rPr>
            <w:noProof/>
            <w:webHidden/>
          </w:rPr>
          <w:fldChar w:fldCharType="begin"/>
        </w:r>
        <w:r w:rsidR="000C47D4" w:rsidRPr="00D76CEF">
          <w:rPr>
            <w:noProof/>
            <w:webHidden/>
          </w:rPr>
          <w:instrText xml:space="preserve"> PAGEREF _Toc208652455 \h </w:instrText>
        </w:r>
        <w:r w:rsidR="003450AF">
          <w:rPr>
            <w:noProof/>
          </w:rPr>
        </w:r>
        <w:r w:rsidRPr="00D76CEF">
          <w:rPr>
            <w:noProof/>
            <w:webHidden/>
          </w:rPr>
          <w:fldChar w:fldCharType="separate"/>
        </w:r>
        <w:r w:rsidR="000C47D4" w:rsidRPr="00D76CEF">
          <w:rPr>
            <w:noProof/>
            <w:webHidden/>
          </w:rPr>
          <w:t>26</w:t>
        </w:r>
        <w:r w:rsidRPr="00D76CEF">
          <w:rPr>
            <w:noProof/>
            <w:webHidden/>
          </w:rPr>
          <w:fldChar w:fldCharType="end"/>
        </w:r>
      </w:hyperlink>
    </w:p>
    <w:p w:rsidR="000C47D4" w:rsidRPr="00D76CEF" w:rsidRDefault="00252C82">
      <w:pPr>
        <w:pStyle w:val="NormalWeb"/>
        <w:spacing w:before="0" w:beforeAutospacing="0" w:after="0" w:afterAutospacing="0"/>
      </w:pPr>
      <w:r w:rsidRPr="00D76CEF">
        <w:fldChar w:fldCharType="end"/>
      </w:r>
    </w:p>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 w:rsidR="000C47D4" w:rsidRPr="00D76CEF" w:rsidRDefault="000C47D4">
      <w:pPr>
        <w:pStyle w:val="Heading1"/>
        <w:rPr>
          <w:b w:val="0"/>
          <w:bCs w:val="0"/>
        </w:rPr>
      </w:pPr>
    </w:p>
    <w:p w:rsidR="000C47D4" w:rsidRPr="00D76CEF" w:rsidRDefault="000C47D4">
      <w:pPr>
        <w:pStyle w:val="Heading1"/>
      </w:pPr>
    </w:p>
    <w:p w:rsidR="000C47D4" w:rsidRPr="00D76CEF" w:rsidRDefault="000C47D4">
      <w:pPr>
        <w:pStyle w:val="Heading1"/>
      </w:pPr>
    </w:p>
    <w:p w:rsidR="000C47D4" w:rsidRPr="00D76CEF" w:rsidRDefault="000C47D4">
      <w:pPr>
        <w:pStyle w:val="Heading1"/>
      </w:pPr>
    </w:p>
    <w:p w:rsidR="000C47D4" w:rsidRPr="00D76CEF" w:rsidRDefault="000C47D4">
      <w:pPr>
        <w:pStyle w:val="Heading1"/>
      </w:pPr>
    </w:p>
    <w:p w:rsidR="000C47D4" w:rsidRPr="00D76CEF" w:rsidRDefault="000C47D4">
      <w:pPr>
        <w:pStyle w:val="Header"/>
        <w:rPr>
          <w:b/>
          <w:bCs/>
        </w:rPr>
      </w:pPr>
      <w:r w:rsidRPr="00D76CEF">
        <w:rPr>
          <w:b/>
          <w:bCs/>
        </w:rPr>
        <w:t>ACKNOWLEDGEMENTS</w:t>
      </w:r>
    </w:p>
    <w:p w:rsidR="000C47D4" w:rsidRPr="00D76CEF" w:rsidRDefault="000C47D4">
      <w:pPr>
        <w:pStyle w:val="Header"/>
      </w:pPr>
    </w:p>
    <w:p w:rsidR="004D20A6" w:rsidRPr="00D76CEF" w:rsidRDefault="004D20A6">
      <w:pPr>
        <w:pStyle w:val="Header"/>
      </w:pPr>
      <w:r w:rsidRPr="00D76CEF">
        <w:t>South Llano Watershed Alliance</w:t>
      </w:r>
      <w:r w:rsidR="000C47D4" w:rsidRPr="00D76CEF">
        <w:t xml:space="preserve"> wishes to thank the following persons for providing colleague review of this report: </w:t>
      </w:r>
    </w:p>
    <w:p w:rsidR="000C47D4" w:rsidRPr="00D76CEF" w:rsidRDefault="000C47D4">
      <w:pPr>
        <w:pStyle w:val="Header"/>
      </w:pPr>
    </w:p>
    <w:p w:rsidR="000C47D4" w:rsidRPr="00D76CEF" w:rsidRDefault="000C47D4">
      <w:r w:rsidRPr="00D76CEF">
        <w:t xml:space="preserve">This report was made possible by generous support </w:t>
      </w:r>
    </w:p>
    <w:p w:rsidR="000C47D4" w:rsidRPr="00D76CEF" w:rsidRDefault="000C47D4">
      <w:pPr>
        <w:pStyle w:val="Heading1"/>
        <w:rPr>
          <w:rFonts w:ascii="Arial" w:hAnsi="Arial"/>
          <w:sz w:val="32"/>
        </w:rPr>
      </w:pPr>
      <w:r w:rsidRPr="00D76CEF">
        <w:br w:type="page"/>
      </w:r>
      <w:bookmarkStart w:id="0" w:name="_Toc208652447"/>
      <w:r w:rsidRPr="00D76CEF">
        <w:rPr>
          <w:rFonts w:ascii="Arial" w:hAnsi="Arial"/>
          <w:sz w:val="32"/>
        </w:rPr>
        <w:t>S</w:t>
      </w:r>
      <w:bookmarkEnd w:id="0"/>
      <w:r w:rsidR="00D76CEF">
        <w:rPr>
          <w:rFonts w:ascii="Arial" w:hAnsi="Arial"/>
          <w:sz w:val="32"/>
        </w:rPr>
        <w:t>ummary</w:t>
      </w:r>
    </w:p>
    <w:p w:rsidR="000C47D4" w:rsidRPr="00D76CEF" w:rsidRDefault="000C47D4">
      <w:pPr>
        <w:ind w:left="-180"/>
        <w:rPr>
          <w:rFonts w:ascii="Arial" w:hAnsi="Arial"/>
          <w:sz w:val="32"/>
        </w:rPr>
      </w:pPr>
    </w:p>
    <w:p w:rsidR="000C47D4" w:rsidRPr="00D76CEF" w:rsidRDefault="000C47D4">
      <w:pPr>
        <w:rPr>
          <w:sz w:val="22"/>
        </w:rPr>
      </w:pPr>
      <w:r w:rsidRPr="00D76CEF">
        <w:rPr>
          <w:sz w:val="22"/>
        </w:rPr>
        <w:t xml:space="preserve">The </w:t>
      </w:r>
      <w:r w:rsidR="00CE318E">
        <w:rPr>
          <w:sz w:val="22"/>
        </w:rPr>
        <w:t xml:space="preserve">North and </w:t>
      </w:r>
      <w:r w:rsidRPr="00D76CEF">
        <w:rPr>
          <w:sz w:val="22"/>
        </w:rPr>
        <w:t>South Llano River</w:t>
      </w:r>
      <w:r w:rsidR="00CE318E">
        <w:rPr>
          <w:sz w:val="22"/>
        </w:rPr>
        <w:t>s are</w:t>
      </w:r>
      <w:r w:rsidRPr="00D76CEF">
        <w:rPr>
          <w:sz w:val="22"/>
        </w:rPr>
        <w:t xml:space="preserve"> a valuable resource to Central Texas, providing recreational opportunities, habitat for unique plant and animal communities, and water supplies to local and downstream communities. The protection and </w:t>
      </w:r>
      <w:r w:rsidR="00CE318E">
        <w:rPr>
          <w:sz w:val="22"/>
        </w:rPr>
        <w:t>preservation of the flow of these river</w:t>
      </w:r>
      <w:r w:rsidR="00381515">
        <w:rPr>
          <w:sz w:val="22"/>
        </w:rPr>
        <w:t>s</w:t>
      </w:r>
      <w:r w:rsidR="00CE318E">
        <w:rPr>
          <w:sz w:val="22"/>
        </w:rPr>
        <w:t xml:space="preserve"> and their watersheds has been identified as</w:t>
      </w:r>
      <w:r w:rsidRPr="00D76CEF">
        <w:rPr>
          <w:sz w:val="22"/>
        </w:rPr>
        <w:t xml:space="preserve"> an environmental, economic, and cultural concern.  The most effective method for protecting and preserving these flows may arise from </w:t>
      </w:r>
      <w:r w:rsidR="00CE318E">
        <w:rPr>
          <w:sz w:val="22"/>
        </w:rPr>
        <w:t>a Watershed Conservation</w:t>
      </w:r>
      <w:r w:rsidRPr="00D76CEF">
        <w:rPr>
          <w:sz w:val="22"/>
        </w:rPr>
        <w:t xml:space="preserve"> </w:t>
      </w:r>
      <w:r w:rsidR="00CE318E">
        <w:rPr>
          <w:sz w:val="22"/>
        </w:rPr>
        <w:t xml:space="preserve">Plan </w:t>
      </w:r>
      <w:r w:rsidRPr="00D76CEF">
        <w:rPr>
          <w:sz w:val="22"/>
        </w:rPr>
        <w:t xml:space="preserve">developed by local and regional stakeholders. This report attempts to facilitate </w:t>
      </w:r>
      <w:r w:rsidR="00CE318E">
        <w:rPr>
          <w:sz w:val="22"/>
        </w:rPr>
        <w:t xml:space="preserve">the development of such a plan by providing </w:t>
      </w:r>
      <w:r w:rsidRPr="00D76CEF">
        <w:rPr>
          <w:sz w:val="22"/>
        </w:rPr>
        <w:t xml:space="preserve">a characterization of the </w:t>
      </w:r>
      <w:r w:rsidR="00CE318E">
        <w:rPr>
          <w:sz w:val="22"/>
        </w:rPr>
        <w:t xml:space="preserve">North and </w:t>
      </w:r>
      <w:r w:rsidRPr="00D76CEF">
        <w:rPr>
          <w:sz w:val="22"/>
        </w:rPr>
        <w:t>South Llano River</w:t>
      </w:r>
      <w:r w:rsidR="00CE318E">
        <w:rPr>
          <w:sz w:val="22"/>
        </w:rPr>
        <w:t>s, their springs, and their</w:t>
      </w:r>
      <w:r w:rsidRPr="00D76CEF">
        <w:rPr>
          <w:sz w:val="22"/>
        </w:rPr>
        <w:t xml:space="preserve"> watershed</w:t>
      </w:r>
      <w:r w:rsidR="00CE318E">
        <w:rPr>
          <w:sz w:val="22"/>
        </w:rPr>
        <w:t>.</w:t>
      </w:r>
    </w:p>
    <w:p w:rsidR="000C47D4" w:rsidRPr="00D76CEF" w:rsidRDefault="000C47D4">
      <w:pPr>
        <w:rPr>
          <w:sz w:val="22"/>
        </w:rPr>
      </w:pPr>
    </w:p>
    <w:p w:rsidR="00A726FD" w:rsidRPr="00D76CEF" w:rsidRDefault="00A726FD" w:rsidP="00A726FD">
      <w:pPr>
        <w:rPr>
          <w:sz w:val="22"/>
        </w:rPr>
      </w:pPr>
      <w:r>
        <w:rPr>
          <w:sz w:val="22"/>
        </w:rPr>
        <w:t>Much of the flow of t</w:t>
      </w:r>
      <w:r w:rsidRPr="00D76CEF">
        <w:rPr>
          <w:sz w:val="22"/>
        </w:rPr>
        <w:t xml:space="preserve">he </w:t>
      </w:r>
      <w:r>
        <w:rPr>
          <w:sz w:val="22"/>
        </w:rPr>
        <w:t>North and</w:t>
      </w:r>
      <w:r w:rsidRPr="00D76CEF">
        <w:rPr>
          <w:sz w:val="22"/>
        </w:rPr>
        <w:t xml:space="preserve"> South Llano River</w:t>
      </w:r>
      <w:r>
        <w:rPr>
          <w:sz w:val="22"/>
        </w:rPr>
        <w:t>s is supplied from springs</w:t>
      </w:r>
      <w:r w:rsidRPr="00D76CEF">
        <w:rPr>
          <w:sz w:val="22"/>
        </w:rPr>
        <w:t xml:space="preserve"> </w:t>
      </w:r>
      <w:r>
        <w:rPr>
          <w:sz w:val="22"/>
        </w:rPr>
        <w:t xml:space="preserve">fed by </w:t>
      </w:r>
      <w:r w:rsidRPr="00D76CEF">
        <w:rPr>
          <w:sz w:val="22"/>
        </w:rPr>
        <w:t xml:space="preserve">groundwater stored in the </w:t>
      </w:r>
      <w:proofErr w:type="spellStart"/>
      <w:r w:rsidRPr="00D76CEF">
        <w:rPr>
          <w:sz w:val="22"/>
        </w:rPr>
        <w:t>karstic</w:t>
      </w:r>
      <w:proofErr w:type="spellEnd"/>
      <w:r w:rsidRPr="00D76CEF">
        <w:rPr>
          <w:sz w:val="22"/>
        </w:rPr>
        <w:t xml:space="preserve"> Edwards-Trinity (Plateau) aquifer. </w:t>
      </w:r>
      <w:r>
        <w:rPr>
          <w:sz w:val="22"/>
        </w:rPr>
        <w:t>The springs of the North Llano likely originate from groundwater in Sutton County, while two areas along the watershed divide in Edwards and Real County feed the springs of the South Llano. This area supplies</w:t>
      </w:r>
      <w:r w:rsidRPr="00D76CEF">
        <w:rPr>
          <w:sz w:val="22"/>
        </w:rPr>
        <w:t xml:space="preserve"> water not only to the South Llano River, but also to the Nueces, Frio, and Guadalupe rivers. </w:t>
      </w:r>
    </w:p>
    <w:p w:rsidR="00A726FD" w:rsidRDefault="00A726FD">
      <w:pPr>
        <w:rPr>
          <w:sz w:val="22"/>
        </w:rPr>
      </w:pPr>
    </w:p>
    <w:p w:rsidR="000C47D4" w:rsidRPr="00D76CEF" w:rsidRDefault="000C47D4">
      <w:pPr>
        <w:rPr>
          <w:sz w:val="22"/>
        </w:rPr>
      </w:pPr>
      <w:r w:rsidRPr="00D76CEF">
        <w:rPr>
          <w:sz w:val="22"/>
        </w:rPr>
        <w:t xml:space="preserve">The South Llano River has not ceased flowing in recorded history due to the presence of several large springs. The largest of these springs is Big Paint Spring, followed by the more famous Seven Hundred Springs. These two springs, along with numerous </w:t>
      </w:r>
      <w:proofErr w:type="gramStart"/>
      <w:r w:rsidRPr="00D76CEF">
        <w:rPr>
          <w:sz w:val="22"/>
        </w:rPr>
        <w:t>other</w:t>
      </w:r>
      <w:proofErr w:type="gramEnd"/>
      <w:r w:rsidRPr="00D76CEF">
        <w:rPr>
          <w:sz w:val="22"/>
        </w:rPr>
        <w:t xml:space="preserve"> springs and seeps along the South Llano River</w:t>
      </w:r>
      <w:r w:rsidR="008131E1">
        <w:rPr>
          <w:sz w:val="22"/>
        </w:rPr>
        <w:t xml:space="preserve"> and its tributaries</w:t>
      </w:r>
      <w:r w:rsidRPr="00D76CEF">
        <w:rPr>
          <w:sz w:val="22"/>
        </w:rPr>
        <w:t xml:space="preserve">, annually provide about 80% of the flow downstream to the Llano River. During dry periods, the Llano River provides about 75% of the flows to the Highland Lakes, the major water supply for the City of Austin and other downstream water users along the Colorado River all the way to the Gulf of Mexico. </w:t>
      </w:r>
    </w:p>
    <w:p w:rsidR="000C47D4" w:rsidRPr="00D76CEF" w:rsidRDefault="000C47D4">
      <w:pPr>
        <w:rPr>
          <w:sz w:val="22"/>
        </w:rPr>
      </w:pPr>
    </w:p>
    <w:p w:rsidR="004E64B2" w:rsidRPr="006840E2" w:rsidRDefault="008131E1" w:rsidP="00A726FD">
      <w:pPr>
        <w:rPr>
          <w:sz w:val="22"/>
        </w:rPr>
      </w:pPr>
      <w:r>
        <w:rPr>
          <w:sz w:val="22"/>
        </w:rPr>
        <w:t xml:space="preserve">The North Llano River </w:t>
      </w:r>
      <w:r w:rsidR="004E64B2">
        <w:rPr>
          <w:sz w:val="22"/>
        </w:rPr>
        <w:t xml:space="preserve">has almost the same watershed area as the South Llano River, but yields about one-fourth the amount of flow and is dry 6% of the time. Despite this, the North Llano River </w:t>
      </w:r>
      <w:r w:rsidR="004E64B2" w:rsidRPr="004E64B2">
        <w:rPr>
          <w:sz w:val="22"/>
        </w:rPr>
        <w:t>still provides critical aquatic habitat and water supply for domestic users, livestock and wildlife</w:t>
      </w:r>
      <w:r w:rsidR="004E64B2" w:rsidRPr="004B07A1">
        <w:t>.</w:t>
      </w:r>
      <w:r w:rsidR="006840E2">
        <w:t xml:space="preserve"> </w:t>
      </w:r>
      <w:r w:rsidR="00E04D35">
        <w:rPr>
          <w:sz w:val="22"/>
        </w:rPr>
        <w:t xml:space="preserve">Recent fish sampling reveals </w:t>
      </w:r>
      <w:r w:rsidR="006840E2">
        <w:rPr>
          <w:sz w:val="22"/>
        </w:rPr>
        <w:t>the aquatic habitat of the North Llano River to be as diverse as the South Llano River.</w:t>
      </w:r>
    </w:p>
    <w:p w:rsidR="000C47D4" w:rsidRPr="00D76CEF" w:rsidRDefault="000C47D4">
      <w:pPr>
        <w:rPr>
          <w:sz w:val="22"/>
        </w:rPr>
      </w:pPr>
    </w:p>
    <w:p w:rsidR="000C47D4" w:rsidRPr="00D76CEF" w:rsidRDefault="000C47D4">
      <w:pPr>
        <w:rPr>
          <w:sz w:val="22"/>
        </w:rPr>
      </w:pPr>
      <w:r w:rsidRPr="00D76CEF">
        <w:rPr>
          <w:sz w:val="22"/>
        </w:rPr>
        <w:t xml:space="preserve">Due to the pristine nature and relatively constant flow of the springs, the </w:t>
      </w:r>
      <w:r w:rsidR="00E04D35">
        <w:rPr>
          <w:sz w:val="22"/>
        </w:rPr>
        <w:t>North and South Llano River are</w:t>
      </w:r>
      <w:r w:rsidRPr="00D76CEF">
        <w:rPr>
          <w:sz w:val="22"/>
        </w:rPr>
        <w:t xml:space="preserve"> cu</w:t>
      </w:r>
      <w:r w:rsidR="00E04D35">
        <w:rPr>
          <w:sz w:val="22"/>
        </w:rPr>
        <w:t>rrently a healthy ecosystem, supporting</w:t>
      </w:r>
      <w:r w:rsidRPr="00D76CEF">
        <w:rPr>
          <w:sz w:val="22"/>
        </w:rPr>
        <w:t xml:space="preserve"> a variety of aquatic and terrestrial ecosystems, as well as numerous recreational opportunities. Subtle changes due to land fragmentation, loss of riparian habitat, and encroachment of </w:t>
      </w:r>
      <w:r w:rsidR="00E04D35">
        <w:rPr>
          <w:sz w:val="22"/>
        </w:rPr>
        <w:t>woody</w:t>
      </w:r>
      <w:r w:rsidRPr="00D76CEF">
        <w:rPr>
          <w:sz w:val="22"/>
        </w:rPr>
        <w:t xml:space="preserve"> species on upland habitats have the potential to decrease the water qu</w:t>
      </w:r>
      <w:r w:rsidR="00E04D35">
        <w:rPr>
          <w:sz w:val="22"/>
        </w:rPr>
        <w:t>ality and quantity of the river, as do more immediate changes such as wildfire and sand and gravel mining.</w:t>
      </w:r>
    </w:p>
    <w:p w:rsidR="000C47D4" w:rsidRPr="00D76CEF" w:rsidRDefault="000C47D4">
      <w:pPr>
        <w:rPr>
          <w:sz w:val="22"/>
        </w:rPr>
      </w:pPr>
      <w:r w:rsidRPr="00D76CEF">
        <w:rPr>
          <w:sz w:val="22"/>
        </w:rPr>
        <w:t xml:space="preserve"> </w:t>
      </w:r>
    </w:p>
    <w:p w:rsidR="00D76CEF" w:rsidRDefault="00D76CEF"/>
    <w:p w:rsidR="00D76CEF" w:rsidRDefault="00D76CEF"/>
    <w:p w:rsidR="00D76CEF" w:rsidRDefault="00D76CEF"/>
    <w:p w:rsidR="00D76CEF" w:rsidRDefault="00D76CEF"/>
    <w:p w:rsidR="000C47D4" w:rsidRPr="00D76CEF" w:rsidRDefault="000C47D4"/>
    <w:p w:rsidR="000C47D4" w:rsidRPr="00D76CEF" w:rsidRDefault="000C47D4">
      <w:pPr>
        <w:pStyle w:val="NormalWeb"/>
        <w:tabs>
          <w:tab w:val="left" w:pos="5955"/>
        </w:tabs>
        <w:spacing w:before="0" w:beforeAutospacing="0" w:after="0" w:afterAutospacing="0"/>
        <w:ind w:left="-180"/>
      </w:pPr>
      <w:r w:rsidRPr="00D76CEF">
        <w:tab/>
      </w:r>
    </w:p>
    <w:p w:rsidR="000C47D4" w:rsidRPr="00D76CEF" w:rsidRDefault="000C47D4">
      <w:pPr>
        <w:pStyle w:val="Heading1"/>
        <w:rPr>
          <w:rFonts w:ascii="Arial" w:hAnsi="Arial"/>
          <w:sz w:val="32"/>
        </w:rPr>
      </w:pPr>
      <w:bookmarkStart w:id="1" w:name="_Toc208652448"/>
      <w:r w:rsidRPr="00D76CEF">
        <w:rPr>
          <w:rFonts w:ascii="Arial" w:hAnsi="Arial"/>
          <w:sz w:val="32"/>
        </w:rPr>
        <w:t>I</w:t>
      </w:r>
      <w:bookmarkEnd w:id="1"/>
      <w:r w:rsidR="00D76CEF">
        <w:rPr>
          <w:rFonts w:ascii="Arial" w:hAnsi="Arial"/>
          <w:sz w:val="32"/>
        </w:rPr>
        <w:t>ntroduction</w:t>
      </w:r>
    </w:p>
    <w:p w:rsidR="000C47D4" w:rsidRPr="00D76CEF" w:rsidRDefault="000C47D4"/>
    <w:p w:rsidR="00E364C6" w:rsidRPr="004B07A1" w:rsidRDefault="00594AE3" w:rsidP="004B07A1">
      <w:r w:rsidRPr="004B07A1">
        <w:t xml:space="preserve">The </w:t>
      </w:r>
      <w:r w:rsidR="00FB70E4" w:rsidRPr="004B07A1">
        <w:t xml:space="preserve">Llano River of Central Texas is a vital resource to the region, providing critical flows downstream to the Colorado River and Highland Lakes, especially during times of drought. The headwaters of the Llano River are located in the watersheds of the </w:t>
      </w:r>
      <w:r w:rsidR="003B6C76" w:rsidRPr="004B07A1">
        <w:t>North and South Llano Rivers</w:t>
      </w:r>
      <w:r w:rsidR="00FB70E4" w:rsidRPr="004B07A1">
        <w:t xml:space="preserve">, where springs issue from canyon walls along </w:t>
      </w:r>
      <w:r w:rsidR="00306ABC">
        <w:t xml:space="preserve">the </w:t>
      </w:r>
      <w:r w:rsidR="00FB70E4" w:rsidRPr="004B07A1">
        <w:t>ed</w:t>
      </w:r>
      <w:r w:rsidR="00E364C6" w:rsidRPr="004B07A1">
        <w:t>ge of the Edwards Plateau. These</w:t>
      </w:r>
      <w:r w:rsidR="00FB70E4" w:rsidRPr="004B07A1">
        <w:t xml:space="preserve"> springs </w:t>
      </w:r>
      <w:r w:rsidR="00E364C6" w:rsidRPr="004B07A1">
        <w:t>support exceptional aquatic habitat for unique biological communities and provide constant critical flows to downstream water users.</w:t>
      </w:r>
    </w:p>
    <w:p w:rsidR="00E364C6" w:rsidRPr="004B07A1" w:rsidRDefault="00E364C6"/>
    <w:p w:rsidR="00E364C6" w:rsidRPr="004B07A1" w:rsidRDefault="00E364C6">
      <w:r w:rsidRPr="004B07A1">
        <w:t xml:space="preserve">Although the watersheds of the North and South Llano Rivers are similar in size, they exhibit different hydrologic characteristics. During periods of low flow, most of the flow down the Llano River originates from the larger springs found </w:t>
      </w:r>
      <w:r w:rsidR="00F1192D" w:rsidRPr="004B07A1">
        <w:t xml:space="preserve">along the South Llano. However, springs along the upper portions of </w:t>
      </w:r>
      <w:r w:rsidR="00306ABC">
        <w:t xml:space="preserve">the </w:t>
      </w:r>
      <w:r w:rsidR="00F1192D" w:rsidRPr="004B07A1">
        <w:t>North Llano watershed still provide critical aquatic habitat and water supply for domestic users, livestock and wildlife, even when the downstream portions of the North Llano are dry.</w:t>
      </w:r>
    </w:p>
    <w:p w:rsidR="00E364C6" w:rsidRPr="004B07A1" w:rsidRDefault="00E364C6"/>
    <w:p w:rsidR="002614B5" w:rsidRPr="004B07A1" w:rsidRDefault="000C3664" w:rsidP="00E364C6">
      <w:r w:rsidRPr="004B07A1">
        <w:t>T</w:t>
      </w:r>
      <w:r w:rsidR="00582213" w:rsidRPr="004B07A1">
        <w:t xml:space="preserve">he protection and preservation of the flows of the North and South Llano River </w:t>
      </w:r>
      <w:r w:rsidRPr="004B07A1">
        <w:t>h</w:t>
      </w:r>
      <w:r w:rsidR="00582213" w:rsidRPr="004B07A1">
        <w:t>as</w:t>
      </w:r>
      <w:r w:rsidR="00E364C6" w:rsidRPr="004B07A1">
        <w:t xml:space="preserve"> </w:t>
      </w:r>
      <w:r w:rsidRPr="004B07A1">
        <w:t xml:space="preserve">been identified as </w:t>
      </w:r>
      <w:r w:rsidR="00E364C6" w:rsidRPr="004B07A1">
        <w:t>an environmental, economic, and cultural conce</w:t>
      </w:r>
      <w:r w:rsidR="00582213" w:rsidRPr="004B07A1">
        <w:t xml:space="preserve">rn. </w:t>
      </w:r>
      <w:r w:rsidRPr="004B07A1">
        <w:t xml:space="preserve">Local and regional stakeholders are collaborating to develop a Watershed Conservation Plan for the </w:t>
      </w:r>
      <w:r w:rsidR="00B83C2D">
        <w:t>Headwaters of the Llano</w:t>
      </w:r>
      <w:r w:rsidRPr="004B07A1">
        <w:t xml:space="preserve">. </w:t>
      </w:r>
      <w:r w:rsidR="00E364C6" w:rsidRPr="004B07A1">
        <w:t xml:space="preserve">To facilitate </w:t>
      </w:r>
      <w:r w:rsidRPr="004B07A1">
        <w:t xml:space="preserve">the development of this plan, the South Llano Watershed Alliance, in conjunction with Texas Parks and Wildlife Department have </w:t>
      </w:r>
      <w:r w:rsidR="00E364C6" w:rsidRPr="004B07A1">
        <w:t>prepared thi</w:t>
      </w:r>
      <w:r w:rsidRPr="004B07A1">
        <w:t>s report.  It characterizes and compares both the North and South Llano river</w:t>
      </w:r>
      <w:r w:rsidR="002614B5" w:rsidRPr="004B07A1">
        <w:t>s</w:t>
      </w:r>
      <w:r w:rsidRPr="004B07A1">
        <w:t xml:space="preserve"> from the upper elevations of their watersheds on the Edwards Plateau to </w:t>
      </w:r>
      <w:r w:rsidR="002614B5" w:rsidRPr="004B07A1">
        <w:t xml:space="preserve">the confluence of the two rivers at Junction. The report compiles new information for the North Llano and updates information presented </w:t>
      </w:r>
      <w:r w:rsidR="00306ABC">
        <w:t xml:space="preserve">in </w:t>
      </w:r>
      <w:r w:rsidR="002614B5" w:rsidRPr="004B07A1">
        <w:t xml:space="preserve">the 2008 characterization study of the South Llano Watershed, “Land of the Living Waters”. </w:t>
      </w:r>
      <w:r w:rsidR="002614B5" w:rsidRPr="004B07A1">
        <w:rPr>
          <w:rStyle w:val="EndnoteReference"/>
          <w:bCs/>
        </w:rPr>
        <w:endnoteReference w:id="1"/>
      </w:r>
    </w:p>
    <w:p w:rsidR="000C47D4" w:rsidRPr="00D76CEF" w:rsidRDefault="000C47D4"/>
    <w:p w:rsidR="000C47D4" w:rsidRPr="00D76CEF" w:rsidRDefault="000C47D4"/>
    <w:p w:rsidR="000C47D4" w:rsidRPr="00D76CEF" w:rsidRDefault="00D76CEF">
      <w:pPr>
        <w:pStyle w:val="Heading1"/>
        <w:rPr>
          <w:rFonts w:ascii="Arial" w:hAnsi="Arial"/>
          <w:sz w:val="32"/>
        </w:rPr>
      </w:pPr>
      <w:r w:rsidRPr="00D76CEF">
        <w:rPr>
          <w:rFonts w:ascii="Arial" w:hAnsi="Arial"/>
          <w:sz w:val="32"/>
        </w:rPr>
        <w:t>General Description</w:t>
      </w:r>
    </w:p>
    <w:p w:rsidR="000C47D4" w:rsidRPr="00D76CEF" w:rsidRDefault="000C47D4"/>
    <w:p w:rsidR="000C47D4" w:rsidRPr="00D76CEF" w:rsidRDefault="00270A24">
      <w:pPr>
        <w:rPr>
          <w:i/>
          <w:iCs/>
        </w:rPr>
      </w:pPr>
      <w:r w:rsidRPr="00D76CEF">
        <w:t>The headwaters for both</w:t>
      </w:r>
      <w:r w:rsidR="000C47D4" w:rsidRPr="00D76CEF">
        <w:t xml:space="preserve"> the </w:t>
      </w:r>
      <w:r w:rsidRPr="00D76CEF">
        <w:t xml:space="preserve">North and </w:t>
      </w:r>
      <w:r w:rsidR="000C47D4" w:rsidRPr="00D76CEF">
        <w:t xml:space="preserve">South Llano </w:t>
      </w:r>
      <w:r w:rsidR="00D84520" w:rsidRPr="00D76CEF">
        <w:t>River (Figure 1) begin about 2,4</w:t>
      </w:r>
      <w:r w:rsidR="000C47D4" w:rsidRPr="00D76CEF">
        <w:t xml:space="preserve">00 feet above sea level in the heart of the Edwards Plateau, a 24,000 square mile upland region.  This region roughly extends from the Pecos River on the west to the Balcones Escarpment (Austin to San Antonio to Del Rio) on the east and south. Capping the Edwards Plateau is thick limestone rock that dissolved over time to form what is considered the largest continuous </w:t>
      </w:r>
      <w:proofErr w:type="spellStart"/>
      <w:r w:rsidR="000C47D4" w:rsidRPr="00D76CEF">
        <w:t>karst</w:t>
      </w:r>
      <w:proofErr w:type="spellEnd"/>
      <w:r w:rsidR="000C47D4" w:rsidRPr="00D76CEF">
        <w:t xml:space="preserve"> </w:t>
      </w:r>
      <w:r w:rsidR="000C47D4" w:rsidRPr="00D76CEF">
        <w:rPr>
          <w:rStyle w:val="EndnoteReference"/>
        </w:rPr>
        <w:endnoteReference w:id="2"/>
      </w:r>
      <w:r w:rsidR="000C47D4" w:rsidRPr="00D76CEF">
        <w:t xml:space="preserve"> areas in the United States. </w:t>
      </w:r>
      <w:r w:rsidR="000C47D4" w:rsidRPr="00D76CEF">
        <w:rPr>
          <w:rStyle w:val="EndnoteReference"/>
        </w:rPr>
        <w:endnoteReference w:id="3"/>
      </w:r>
    </w:p>
    <w:p w:rsidR="000C47D4" w:rsidRPr="00D76CEF" w:rsidRDefault="000C47D4"/>
    <w:p w:rsidR="000C47D4" w:rsidRPr="00D76CEF" w:rsidRDefault="000C47D4">
      <w:r w:rsidRPr="00D76CEF">
        <w:t xml:space="preserve">The </w:t>
      </w:r>
      <w:r w:rsidR="00270A24" w:rsidRPr="00D76CEF">
        <w:t>North Llano River flows intermittently acr</w:t>
      </w:r>
      <w:r w:rsidR="00C65493" w:rsidRPr="00D76CEF">
        <w:t>oss the plateau for its first 31</w:t>
      </w:r>
      <w:r w:rsidR="00270A24" w:rsidRPr="00D76CEF">
        <w:t xml:space="preserve"> miles; </w:t>
      </w:r>
      <w:r w:rsidRPr="00D76CEF">
        <w:t xml:space="preserve">South Llano River </w:t>
      </w:r>
      <w:r w:rsidR="00270A24" w:rsidRPr="00D76CEF">
        <w:t>is intermittent</w:t>
      </w:r>
      <w:r w:rsidRPr="00D76CEF">
        <w:t xml:space="preserve"> in its first 35 miles across the plateau. But where the river</w:t>
      </w:r>
      <w:r w:rsidR="00270A24" w:rsidRPr="00D76CEF">
        <w:t>s and their</w:t>
      </w:r>
      <w:r w:rsidRPr="00D76CEF">
        <w:t xml:space="preserve"> tributaries have carved canyons into the limestone cap, the water stored in the </w:t>
      </w:r>
      <w:proofErr w:type="spellStart"/>
      <w:r w:rsidRPr="00D76CEF">
        <w:t>karst</w:t>
      </w:r>
      <w:proofErr w:type="spellEnd"/>
      <w:r w:rsidRPr="00D76CEF">
        <w:t xml:space="preserve"> features of the plateau emerges as springs along the canyon walls. The springs, located at an elevation of approximately 1,900 feet, have historically supplied constant flow for the </w:t>
      </w:r>
      <w:r w:rsidR="00CB15D2" w:rsidRPr="00D76CEF">
        <w:t xml:space="preserve">South Llano </w:t>
      </w:r>
      <w:r w:rsidRPr="00D76CEF">
        <w:t>river’s final 20 miles to Junction</w:t>
      </w:r>
      <w:r w:rsidR="00CB15D2" w:rsidRPr="00D76CEF">
        <w:t xml:space="preserve"> and relatively constant flow for the North Llano river’</w:t>
      </w:r>
      <w:r w:rsidR="00C65493" w:rsidRPr="00D76CEF">
        <w:t>s final 27</w:t>
      </w:r>
      <w:r w:rsidR="00CB15D2" w:rsidRPr="00D76CEF">
        <w:t xml:space="preserve"> miles</w:t>
      </w:r>
      <w:r w:rsidRPr="00D76CEF">
        <w:t xml:space="preserve">. At Junction, appropriately known as the “Land of Living Waters”, the South Llano joins the North Llano River, becoming the Llano River for the final 100-mile journey to Lake LBJ in the chain of water-supply reservoirs known as the Highland Lakes.   </w:t>
      </w:r>
    </w:p>
    <w:p w:rsidR="000C47D4" w:rsidRPr="00D76CEF" w:rsidRDefault="000C47D4"/>
    <w:p w:rsidR="000C47D4" w:rsidRPr="00A85A5B" w:rsidRDefault="000C47D4">
      <w:pPr>
        <w:pStyle w:val="BodyText"/>
      </w:pPr>
      <w:r w:rsidRPr="00A85A5B">
        <w:t xml:space="preserve">Figure 1. Map of </w:t>
      </w:r>
      <w:r w:rsidR="008131E1">
        <w:t xml:space="preserve">North and </w:t>
      </w:r>
      <w:r w:rsidRPr="00A85A5B">
        <w:t>South Llano River and surrounding area</w:t>
      </w:r>
    </w:p>
    <w:p w:rsidR="000C47D4" w:rsidRPr="00A85A5B" w:rsidRDefault="000C47D4">
      <w:pPr>
        <w:pStyle w:val="BodyText"/>
      </w:pPr>
    </w:p>
    <w:p w:rsidR="000C47D4" w:rsidRPr="00D76CEF" w:rsidRDefault="00252C82">
      <w:r>
        <w:rPr>
          <w:noProof/>
        </w:rPr>
        <w:pict>
          <v:shapetype id="_x0000_t202" coordsize="21600,21600" o:spt="202" path="m0,0l0,21600,21600,21600,21600,0xe">
            <v:stroke joinstyle="miter"/>
            <v:path gradientshapeok="t" o:connecttype="rect"/>
          </v:shapetype>
          <v:shape id="_x0000_s1057" type="#_x0000_t202" style="position:absolute;margin-left:9pt;margin-top:134.4pt;width:1in;height:45.6pt;z-index:251655680;mso-position-horizontal:absolute;mso-position-vertical:absolute" o:regroupid="1" stroked="f">
            <v:textbox style="mso-next-textbox:#_x0000_s1057">
              <w:txbxContent>
                <w:p w:rsidR="003450AF" w:rsidRDefault="003450AF">
                  <w:pPr>
                    <w:jc w:val="center"/>
                    <w:rPr>
                      <w:i/>
                      <w:iCs/>
                      <w:sz w:val="20"/>
                      <w:szCs w:val="20"/>
                    </w:rPr>
                  </w:pPr>
                  <w:r>
                    <w:rPr>
                      <w:i/>
                      <w:iCs/>
                      <w:sz w:val="20"/>
                      <w:szCs w:val="20"/>
                    </w:rPr>
                    <w:t>Area of major</w:t>
                  </w:r>
                  <w:r>
                    <w:rPr>
                      <w:i/>
                      <w:iCs/>
                    </w:rPr>
                    <w:t xml:space="preserve"> </w:t>
                  </w:r>
                  <w:r>
                    <w:rPr>
                      <w:i/>
                      <w:iCs/>
                      <w:sz w:val="20"/>
                      <w:szCs w:val="20"/>
                    </w:rPr>
                    <w:t>springs</w:t>
                  </w:r>
                </w:p>
              </w:txbxContent>
            </v:textbox>
          </v:shape>
        </w:pict>
      </w:r>
      <w:r>
        <w:rPr>
          <w:noProof/>
        </w:rPr>
        <w:pict>
          <v:rect id="_x0000_s1055" style="position:absolute;margin-left:162pt;margin-top:161.4pt;width:45pt;height:27pt;z-index:251653632" o:regroupid="1" filled="f"/>
        </w:pict>
      </w:r>
      <w:r>
        <w:rPr>
          <w:noProof/>
        </w:rPr>
        <w:pict>
          <v:line id="_x0000_s1056" style="position:absolute;z-index:251654656" from="81pt,152.4pt" to="162pt,170.4pt" o:regroupid="1">
            <v:stroke endarrow="block"/>
          </v:line>
        </w:pict>
      </w:r>
      <w:bookmarkStart w:id="2" w:name="OLE_LINK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341pt" o:bordertopcolor="this" o:borderleftcolor="this" o:borderbottomcolor="this" o:borderrightcolor="this">
            <v:imagedata r:id="rId9" o:title=""/>
            <w10:bordertop type="single" width="4"/>
            <w10:borderleft type="single" width="4"/>
            <w10:borderbottom type="single" width="4"/>
            <w10:borderright type="single" width="4"/>
          </v:shape>
        </w:pict>
      </w:r>
      <w:bookmarkEnd w:id="2"/>
    </w:p>
    <w:p w:rsidR="000C47D4" w:rsidRPr="006F041C" w:rsidRDefault="000C47D4" w:rsidP="006F041C">
      <w:pPr>
        <w:pStyle w:val="NormalIndent"/>
      </w:pPr>
    </w:p>
    <w:p w:rsidR="000C47D4" w:rsidRPr="00D76CEF" w:rsidRDefault="00B55835">
      <w:r w:rsidRPr="00D76CEF">
        <w:t>The North Llano River flows through Sutton and Kimble counties, while t</w:t>
      </w:r>
      <w:r w:rsidR="000C47D4" w:rsidRPr="00D76CEF">
        <w:t xml:space="preserve">he South Llano River flows through Edwards and Kimble counties. </w:t>
      </w:r>
      <w:r w:rsidR="000C47D4" w:rsidRPr="00D76CEF">
        <w:rPr>
          <w:rStyle w:val="EndnoteReference"/>
        </w:rPr>
        <w:endnoteReference w:id="4"/>
      </w:r>
      <w:r w:rsidR="000C47D4" w:rsidRPr="00D76CEF">
        <w:t xml:space="preserve"> These counties can be characterized as agricultural, primarily consisting of ranches used for livestock production, and along the bottomlands, some pecan and hay production.  A large source of income for these ranches is hunting leases for white tail deer and exotic species. Tourism, primarily associated with recreation along the South Llano is also an important aspect of the economy. Some natural gas production occurs in the headwaters of </w:t>
      </w:r>
      <w:r w:rsidRPr="00D76CEF">
        <w:t>both watersheds</w:t>
      </w:r>
      <w:r w:rsidR="000C47D4" w:rsidRPr="00D76CEF">
        <w:t>.</w:t>
      </w:r>
    </w:p>
    <w:p w:rsidR="000C47D4" w:rsidRPr="00D76CEF" w:rsidRDefault="000C47D4"/>
    <w:p w:rsidR="00B25DDE" w:rsidRPr="00D76CEF" w:rsidRDefault="00B25DDE" w:rsidP="00154D2C">
      <w:r w:rsidRPr="00D76CEF">
        <w:t>Between 2</w:t>
      </w:r>
      <w:r w:rsidR="00262281" w:rsidRPr="00D76CEF">
        <w:t xml:space="preserve">000 and 2010, Kimble County experienced a 3.1% growth rate, while Edwards County has experienced a 7.4% reduction in population. </w:t>
      </w:r>
      <w:r w:rsidR="00154D2C" w:rsidRPr="00D76CEF">
        <w:t>The estimated population of the North and South Llano watersheds is 4</w:t>
      </w:r>
      <w:r w:rsidRPr="00D76CEF">
        <w:t>,055 inhabitants, with about 63 percent</w:t>
      </w:r>
      <w:r w:rsidR="00154D2C" w:rsidRPr="00D76CEF">
        <w:t xml:space="preserve"> of the inhabitants residing in the South Llano watershed.</w:t>
      </w:r>
      <w:r w:rsidR="00154D2C" w:rsidRPr="00D76CEF">
        <w:rPr>
          <w:rStyle w:val="EndnoteReference"/>
        </w:rPr>
        <w:endnoteReference w:id="5"/>
      </w:r>
      <w:r w:rsidRPr="00D76CEF">
        <w:t xml:space="preserve"> </w:t>
      </w:r>
      <w:r w:rsidR="00154D2C" w:rsidRPr="00D76CEF">
        <w:t>The majority (78%) of the populati</w:t>
      </w:r>
      <w:r w:rsidR="00262281" w:rsidRPr="00D76CEF">
        <w:t xml:space="preserve">on of the two watersheds </w:t>
      </w:r>
      <w:r w:rsidR="00FC05D4" w:rsidRPr="00D76CEF">
        <w:t>resides</w:t>
      </w:r>
      <w:r w:rsidR="00D54CB2" w:rsidRPr="00D76CEF">
        <w:t xml:space="preserve"> in the cities</w:t>
      </w:r>
      <w:r w:rsidR="00262281" w:rsidRPr="00D76CEF">
        <w:t xml:space="preserve"> of Junction or</w:t>
      </w:r>
      <w:r w:rsidR="00154D2C" w:rsidRPr="00D76CEF">
        <w:t xml:space="preserve"> Rocksprings.  </w:t>
      </w:r>
      <w:r w:rsidR="00A2138A">
        <w:t xml:space="preserve">It is estimated that about 3,015 residents in the watersheds live in Kimble County, about 985 live in Edwards County, and 55 live in Sutton County. </w:t>
      </w:r>
      <w:r w:rsidR="00262281" w:rsidRPr="00D76CEF">
        <w:t>The estimated rural population is 467 in the North Llano watershed and 434 in the South Llano watershed.</w:t>
      </w:r>
      <w:r w:rsidRPr="00D76CEF">
        <w:t xml:space="preserve"> However, population figures alone do not provide a clear picture of the demographics in these counties. For example, of the 9,000 parcels in Kimble County, non-Kimble county residents own 55% percent, and non-Texas residents own an additional 5%. </w:t>
      </w:r>
      <w:r w:rsidRPr="00D76CEF">
        <w:rPr>
          <w:rStyle w:val="EndnoteReference"/>
        </w:rPr>
        <w:endnoteReference w:id="6"/>
      </w:r>
    </w:p>
    <w:p w:rsidR="00154D2C" w:rsidRPr="00D76CEF" w:rsidRDefault="00154D2C" w:rsidP="00154D2C"/>
    <w:p w:rsidR="000C47D4" w:rsidRPr="00D76CEF" w:rsidRDefault="000C47D4"/>
    <w:p w:rsidR="000C47D4" w:rsidRPr="004B07A1" w:rsidRDefault="004B07A1">
      <w:pPr>
        <w:pStyle w:val="Heading1"/>
        <w:rPr>
          <w:rFonts w:ascii="Arial" w:hAnsi="Arial"/>
          <w:sz w:val="32"/>
        </w:rPr>
      </w:pPr>
      <w:r>
        <w:rPr>
          <w:rFonts w:ascii="Arial" w:hAnsi="Arial"/>
          <w:sz w:val="32"/>
        </w:rPr>
        <w:t>Water Resources</w:t>
      </w:r>
    </w:p>
    <w:p w:rsidR="000C47D4" w:rsidRPr="00D76CEF" w:rsidRDefault="000C47D4"/>
    <w:p w:rsidR="00EB3C0C" w:rsidRPr="00D76CEF" w:rsidRDefault="00D84520">
      <w:r w:rsidRPr="00D76CEF">
        <w:t xml:space="preserve">Although the size of the watersheds for the North Llano (942 square miles) and the South Llano (939 square miles) are almost equal, they exhibit </w:t>
      </w:r>
      <w:r w:rsidR="00287E15" w:rsidRPr="00D76CEF">
        <w:t xml:space="preserve">very </w:t>
      </w:r>
      <w:r w:rsidRPr="00D76CEF">
        <w:t xml:space="preserve">different hydrologic characteristics. </w:t>
      </w:r>
      <w:r w:rsidR="009B1A46" w:rsidRPr="00D76CEF">
        <w:t xml:space="preserve">The mean annual flow </w:t>
      </w:r>
      <w:r w:rsidR="00EB3C0C" w:rsidRPr="00D76CEF">
        <w:t>of the North Llano River is 66</w:t>
      </w:r>
      <w:r w:rsidR="009B1A46" w:rsidRPr="00D76CEF">
        <w:t xml:space="preserve"> cubic feet per second (</w:t>
      </w:r>
      <w:proofErr w:type="spellStart"/>
      <w:r w:rsidR="009B1A46" w:rsidRPr="00D76CEF">
        <w:t>cfs</w:t>
      </w:r>
      <w:proofErr w:type="spellEnd"/>
      <w:r w:rsidR="009B1A46" w:rsidRPr="00D76CEF">
        <w:t xml:space="preserve">), while the mean annual flow of the South Llano River is </w:t>
      </w:r>
      <w:r w:rsidR="00EB3C0C" w:rsidRPr="00D76CEF">
        <w:t xml:space="preserve">129 </w:t>
      </w:r>
      <w:proofErr w:type="spellStart"/>
      <w:r w:rsidR="00EB3C0C" w:rsidRPr="00D76CEF">
        <w:t>cfs</w:t>
      </w:r>
      <w:proofErr w:type="spellEnd"/>
      <w:r w:rsidR="00EB3C0C" w:rsidRPr="00D76CEF">
        <w:t xml:space="preserve">. </w:t>
      </w:r>
      <w:r w:rsidR="00EB3C0C" w:rsidRPr="00D76CEF">
        <w:rPr>
          <w:rStyle w:val="EndnoteReference"/>
        </w:rPr>
        <w:endnoteReference w:id="7"/>
      </w:r>
      <w:r w:rsidR="00291B8E" w:rsidRPr="00D76CEF">
        <w:t xml:space="preserve"> </w:t>
      </w:r>
      <w:r w:rsidR="0050530E" w:rsidRPr="00D76CEF">
        <w:t xml:space="preserve">The median daily flow for the North Llano River is 20 </w:t>
      </w:r>
      <w:proofErr w:type="spellStart"/>
      <w:r w:rsidR="0050530E" w:rsidRPr="00D76CEF">
        <w:t>cfs</w:t>
      </w:r>
      <w:proofErr w:type="spellEnd"/>
      <w:r w:rsidR="0050530E" w:rsidRPr="00D76CEF">
        <w:t xml:space="preserve">, while the median daily flow for the South Llano River is 80 </w:t>
      </w:r>
      <w:proofErr w:type="spellStart"/>
      <w:r w:rsidR="0050530E" w:rsidRPr="00D76CEF">
        <w:t>cfs</w:t>
      </w:r>
      <w:proofErr w:type="spellEnd"/>
      <w:r w:rsidR="0050530E" w:rsidRPr="00D76CEF">
        <w:t xml:space="preserve">. </w:t>
      </w:r>
      <w:r w:rsidR="0050530E" w:rsidRPr="00D76CEF">
        <w:rPr>
          <w:rStyle w:val="EndnoteReference"/>
        </w:rPr>
        <w:endnoteReference w:id="8"/>
      </w:r>
      <w:r w:rsidR="0050530E" w:rsidRPr="00D76CEF">
        <w:t xml:space="preserve"> </w:t>
      </w:r>
      <w:r w:rsidR="00291B8E" w:rsidRPr="00D76CEF">
        <w:t xml:space="preserve">The principle reason for such a difference </w:t>
      </w:r>
      <w:r w:rsidR="00B35378" w:rsidRPr="00D76CEF">
        <w:t xml:space="preserve">results from greater </w:t>
      </w:r>
      <w:proofErr w:type="spellStart"/>
      <w:r w:rsidR="00B35378" w:rsidRPr="00D76CEF">
        <w:t>springflow</w:t>
      </w:r>
      <w:proofErr w:type="spellEnd"/>
      <w:r w:rsidR="00B35378" w:rsidRPr="00D76CEF">
        <w:t xml:space="preserve"> in the South Llano River watershed.</w:t>
      </w:r>
    </w:p>
    <w:p w:rsidR="00B845D0" w:rsidRPr="00D76CEF" w:rsidRDefault="00B845D0"/>
    <w:p w:rsidR="000C47D4" w:rsidRPr="00D76CEF" w:rsidRDefault="00287E15">
      <w:r w:rsidRPr="00D76CEF">
        <w:t>Due to the existence of large headwater springs</w:t>
      </w:r>
      <w:r w:rsidR="000C47D4" w:rsidRPr="00D76CEF">
        <w:t xml:space="preserve">, the South Llano River has never ceased to flow in recorded history. The US Geological Survey (USGS) has maintained a stream gauge just below the confluence of the North and South Llano Rivers since 1915. </w:t>
      </w:r>
      <w:r w:rsidR="000C47D4" w:rsidRPr="00D76CEF">
        <w:rPr>
          <w:rStyle w:val="EndnoteReference"/>
        </w:rPr>
        <w:endnoteReference w:id="9"/>
      </w:r>
      <w:r w:rsidR="000C47D4" w:rsidRPr="00D76CEF">
        <w:t xml:space="preserve">  Figure 2 shows the median monthly discharge, or flow, (in cubic feet per </w:t>
      </w:r>
      <w:r w:rsidR="001366C7" w:rsidRPr="00D76CEF">
        <w:t>second) for the period 1915-2011</w:t>
      </w:r>
      <w:r w:rsidR="000C47D4" w:rsidRPr="00D76CEF">
        <w:t xml:space="preserve"> and reflects the area’s normal rainfall distribution with the majority of precipitation occurring in late spring and early fall. </w:t>
      </w:r>
    </w:p>
    <w:p w:rsidR="000C47D4" w:rsidRPr="00D76CEF" w:rsidRDefault="000C47D4"/>
    <w:p w:rsidR="00346637" w:rsidRPr="00D76CEF" w:rsidRDefault="000C47D4" w:rsidP="00346637">
      <w:pPr>
        <w:pStyle w:val="BodyText"/>
        <w:jc w:val="center"/>
      </w:pPr>
      <w:r w:rsidRPr="00D76CEF">
        <w:t>Figure 2. Median Monthly Discharge for Llano River at Junction, Texas</w:t>
      </w:r>
      <w:r w:rsidR="00B2160B" w:rsidRPr="00D76CEF">
        <w:t xml:space="preserve"> (1915 – 1993 &amp; 1997 – 2011)</w:t>
      </w:r>
      <w:r w:rsidRPr="00D76CEF">
        <w:t xml:space="preserve"> </w:t>
      </w:r>
      <w:r w:rsidRPr="00D76CEF">
        <w:rPr>
          <w:rStyle w:val="EndnoteReference"/>
          <w:b w:val="0"/>
          <w:bCs w:val="0"/>
        </w:rPr>
        <w:endnoteReference w:id="10"/>
      </w:r>
    </w:p>
    <w:p w:rsidR="00FC05D4" w:rsidRPr="00D76CEF" w:rsidRDefault="00346637" w:rsidP="00346637">
      <w:r w:rsidRPr="00D76CEF">
        <w:rPr>
          <w:noProof/>
        </w:rPr>
        <w:drawing>
          <wp:inline distT="0" distB="0" distL="0" distR="0">
            <wp:extent cx="5257800" cy="2792756"/>
            <wp:effectExtent l="25400" t="0" r="0" b="0"/>
            <wp:docPr id="168" name="Object 1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C05D4" w:rsidRPr="00D76CEF" w:rsidRDefault="00FC05D4" w:rsidP="00E04097">
      <w:pPr>
        <w:pStyle w:val="Heading2"/>
        <w:rPr>
          <w:i w:val="0"/>
        </w:rPr>
      </w:pPr>
    </w:p>
    <w:p w:rsidR="00FC05D4" w:rsidRPr="00D76CEF" w:rsidRDefault="006567B0" w:rsidP="00B845D0">
      <w:pPr>
        <w:pStyle w:val="Heading2"/>
        <w:rPr>
          <w:i w:val="0"/>
        </w:rPr>
      </w:pPr>
      <w:r w:rsidRPr="00D76CEF">
        <w:rPr>
          <w:noProof/>
        </w:rPr>
        <w:drawing>
          <wp:inline distT="0" distB="0" distL="0" distR="0">
            <wp:extent cx="0" cy="0"/>
            <wp:effectExtent l="0" t="0" r="0" b="0"/>
            <wp:docPr id="1"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845D0" w:rsidRPr="00D76CEF" w:rsidRDefault="00E04097" w:rsidP="00B2160B">
      <w:pPr>
        <w:pStyle w:val="Heading2"/>
        <w:rPr>
          <w:b/>
          <w:bCs/>
          <w:i w:val="0"/>
          <w:iCs w:val="0"/>
          <w:u w:val="single"/>
        </w:rPr>
      </w:pPr>
      <w:r w:rsidRPr="00D76CEF">
        <w:rPr>
          <w:i w:val="0"/>
        </w:rPr>
        <w:t>During the summer months, when little precipitation occurs in the area, the majority of the flow at the gauge is from springs feeding the South Llano River; during low-flow periods, the North Lla</w:t>
      </w:r>
      <w:r w:rsidR="008E105D" w:rsidRPr="00D76CEF">
        <w:rPr>
          <w:i w:val="0"/>
        </w:rPr>
        <w:t>no River contributes less than 10</w:t>
      </w:r>
      <w:r w:rsidRPr="00D76CEF">
        <w:rPr>
          <w:i w:val="0"/>
        </w:rPr>
        <w:t>% of the flow to the Llano River, and is often dry.</w:t>
      </w:r>
      <w:r w:rsidRPr="00D76CEF">
        <w:rPr>
          <w:rStyle w:val="EndnoteReference"/>
          <w:i w:val="0"/>
        </w:rPr>
        <w:endnoteReference w:id="11"/>
      </w:r>
      <w:r w:rsidR="008E105D" w:rsidRPr="00D76CEF">
        <w:rPr>
          <w:i w:val="0"/>
        </w:rPr>
        <w:t xml:space="preserve"> Figure 3 compares the median monthly discharge for the North Llano River at Junction to the Llano River at Junction for the period 1915 to 1977. </w:t>
      </w:r>
      <w:r w:rsidR="008E105D" w:rsidRPr="00D76CEF">
        <w:rPr>
          <w:rStyle w:val="EndnoteReference"/>
          <w:i w:val="0"/>
        </w:rPr>
        <w:endnoteReference w:id="12"/>
      </w:r>
      <w:r w:rsidR="00231133" w:rsidRPr="00D76CEF">
        <w:rPr>
          <w:i w:val="0"/>
        </w:rPr>
        <w:t xml:space="preserve"> </w:t>
      </w:r>
      <w:r w:rsidR="0003107B" w:rsidRPr="00D76CEF">
        <w:rPr>
          <w:i w:val="0"/>
        </w:rPr>
        <w:t>No flow has</w:t>
      </w:r>
      <w:r w:rsidR="00507986" w:rsidRPr="00D76CEF">
        <w:rPr>
          <w:i w:val="0"/>
        </w:rPr>
        <w:t xml:space="preserve"> been recorded at the North Llano River at Junction gauge several times. The longest period of zero flow occurred during the drought-of-record during the 1950s, when the North Llano ceased to flow for 246 days. </w:t>
      </w:r>
      <w:r w:rsidR="002D5DCE" w:rsidRPr="00D76CEF">
        <w:rPr>
          <w:i w:val="0"/>
        </w:rPr>
        <w:t xml:space="preserve"> By comparison, i</w:t>
      </w:r>
      <w:r w:rsidR="00507986" w:rsidRPr="00D76CEF">
        <w:rPr>
          <w:i w:val="0"/>
        </w:rPr>
        <w:t xml:space="preserve">n 2011, the North Llano ceased to flow for 121 days. </w:t>
      </w:r>
      <w:r w:rsidR="0003107B" w:rsidRPr="00D76CEF">
        <w:rPr>
          <w:i w:val="0"/>
        </w:rPr>
        <w:t>Over the entire period of record for this gauge (1915 to 1977 and 2001 to 2012) zero flow has been recorded six percent of the time.</w:t>
      </w:r>
    </w:p>
    <w:p w:rsidR="00B845D0" w:rsidRPr="00D76CEF" w:rsidRDefault="00B845D0" w:rsidP="00323111"/>
    <w:p w:rsidR="00323111" w:rsidRPr="00A85A5B" w:rsidRDefault="00A85A5B" w:rsidP="00EB3C0C">
      <w:pPr>
        <w:pStyle w:val="BodyText"/>
        <w:jc w:val="center"/>
      </w:pPr>
      <w:r>
        <w:t>Figure 3</w:t>
      </w:r>
      <w:r w:rsidR="00B845D0" w:rsidRPr="00A85A5B">
        <w:t>. Median Monthly Discharge for Llano River and North Llano River at Junction, Texas</w:t>
      </w:r>
      <w:r w:rsidR="00B2160B" w:rsidRPr="00A85A5B">
        <w:t xml:space="preserve"> (1915 – 1977)</w:t>
      </w:r>
      <w:r w:rsidR="00B845D0" w:rsidRPr="00A85A5B">
        <w:t xml:space="preserve"> </w:t>
      </w:r>
      <w:r w:rsidR="00B845D0" w:rsidRPr="00A85A5B">
        <w:rPr>
          <w:rStyle w:val="EndnoteReference"/>
          <w:b w:val="0"/>
          <w:bCs w:val="0"/>
        </w:rPr>
        <w:endnoteReference w:id="13"/>
      </w:r>
    </w:p>
    <w:p w:rsidR="00E04097" w:rsidRPr="00D76CEF" w:rsidRDefault="00750439" w:rsidP="00323111">
      <w:r w:rsidRPr="00D76CEF">
        <w:rPr>
          <w:noProof/>
        </w:rPr>
        <w:drawing>
          <wp:inline distT="0" distB="0" distL="0" distR="0">
            <wp:extent cx="5575300" cy="2751667"/>
            <wp:effectExtent l="25400" t="0" r="0" b="0"/>
            <wp:docPr id="9"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6DF7" w:rsidRPr="00D76CEF" w:rsidRDefault="00231133" w:rsidP="00E04097">
      <w:pPr>
        <w:pStyle w:val="Heading2"/>
        <w:rPr>
          <w:bCs/>
          <w:i w:val="0"/>
          <w:iCs w:val="0"/>
        </w:rPr>
      </w:pPr>
      <w:r w:rsidRPr="00D76CEF">
        <w:rPr>
          <w:bCs/>
          <w:i w:val="0"/>
          <w:iCs w:val="0"/>
        </w:rPr>
        <w:t xml:space="preserve">Both the North and South Llano watersheds are subject to intense flooding. The largest recorded peak flow on the North Llano River is 102,000 </w:t>
      </w:r>
      <w:proofErr w:type="spellStart"/>
      <w:r w:rsidRPr="00D76CEF">
        <w:rPr>
          <w:bCs/>
          <w:i w:val="0"/>
          <w:iCs w:val="0"/>
        </w:rPr>
        <w:t>cfs</w:t>
      </w:r>
      <w:proofErr w:type="spellEnd"/>
      <w:r w:rsidRPr="00D76CEF">
        <w:rPr>
          <w:bCs/>
          <w:i w:val="0"/>
          <w:iCs w:val="0"/>
        </w:rPr>
        <w:t xml:space="preserve"> on September 16, 1936, while the largest recorded flood </w:t>
      </w:r>
      <w:r w:rsidR="00270C1F" w:rsidRPr="00D76CEF">
        <w:rPr>
          <w:bCs/>
          <w:i w:val="0"/>
          <w:iCs w:val="0"/>
        </w:rPr>
        <w:t xml:space="preserve">(238,100 </w:t>
      </w:r>
      <w:proofErr w:type="spellStart"/>
      <w:r w:rsidR="00270C1F" w:rsidRPr="00D76CEF">
        <w:rPr>
          <w:bCs/>
          <w:i w:val="0"/>
          <w:iCs w:val="0"/>
        </w:rPr>
        <w:t>cfs</w:t>
      </w:r>
      <w:proofErr w:type="spellEnd"/>
      <w:r w:rsidR="00270C1F" w:rsidRPr="00D76CEF">
        <w:rPr>
          <w:bCs/>
          <w:i w:val="0"/>
          <w:iCs w:val="0"/>
        </w:rPr>
        <w:t xml:space="preserve"> </w:t>
      </w:r>
      <w:r w:rsidR="00270C1F" w:rsidRPr="00D76CEF">
        <w:rPr>
          <w:rStyle w:val="EndnoteReference"/>
          <w:bCs/>
          <w:i w:val="0"/>
          <w:iCs w:val="0"/>
        </w:rPr>
        <w:endnoteReference w:id="14"/>
      </w:r>
      <w:r w:rsidR="00270C1F" w:rsidRPr="00D76CEF">
        <w:rPr>
          <w:bCs/>
          <w:i w:val="0"/>
          <w:iCs w:val="0"/>
        </w:rPr>
        <w:t xml:space="preserve">) </w:t>
      </w:r>
      <w:r w:rsidRPr="00D76CEF">
        <w:rPr>
          <w:bCs/>
          <w:i w:val="0"/>
          <w:iCs w:val="0"/>
        </w:rPr>
        <w:t>on the South Llano</w:t>
      </w:r>
      <w:r w:rsidR="00270C1F" w:rsidRPr="00D76CEF">
        <w:rPr>
          <w:bCs/>
          <w:i w:val="0"/>
          <w:iCs w:val="0"/>
        </w:rPr>
        <w:t xml:space="preserve"> occurred June 14, 1935.</w:t>
      </w:r>
    </w:p>
    <w:p w:rsidR="006104C3" w:rsidRPr="00D76CEF" w:rsidRDefault="006104C3" w:rsidP="00B06DF7"/>
    <w:p w:rsidR="000C47D4" w:rsidRPr="0045488E" w:rsidRDefault="00BA5A18" w:rsidP="00E04097">
      <w:pPr>
        <w:pStyle w:val="Heading2"/>
        <w:rPr>
          <w:b/>
          <w:bCs/>
          <w:i w:val="0"/>
          <w:iCs w:val="0"/>
          <w:u w:val="single"/>
        </w:rPr>
      </w:pPr>
      <w:r w:rsidRPr="0045488E">
        <w:rPr>
          <w:b/>
          <w:bCs/>
          <w:i w:val="0"/>
          <w:iCs w:val="0"/>
          <w:u w:val="single"/>
        </w:rPr>
        <w:t>Springs</w:t>
      </w:r>
    </w:p>
    <w:p w:rsidR="000C47D4" w:rsidRPr="00D76CEF" w:rsidRDefault="000C47D4"/>
    <w:p w:rsidR="00E47BE9" w:rsidRPr="00D76CEF" w:rsidRDefault="000C47D4">
      <w:r w:rsidRPr="00D76CEF">
        <w:t xml:space="preserve">There are numerous springs that contribute to the flow of the </w:t>
      </w:r>
      <w:r w:rsidR="002A2DB9" w:rsidRPr="00D76CEF">
        <w:t xml:space="preserve">North and </w:t>
      </w:r>
      <w:r w:rsidRPr="00D76CEF">
        <w:t xml:space="preserve">South Llano River. The Texas Springs Database </w:t>
      </w:r>
      <w:r w:rsidRPr="00D76CEF">
        <w:rPr>
          <w:rStyle w:val="EndnoteReference"/>
        </w:rPr>
        <w:endnoteReference w:id="15"/>
      </w:r>
      <w:r w:rsidR="00860194" w:rsidRPr="00D76CEF">
        <w:t xml:space="preserve"> identifies</w:t>
      </w:r>
      <w:r w:rsidRPr="00D76CEF">
        <w:t xml:space="preserve"> </w:t>
      </w:r>
      <w:r w:rsidR="002A2DB9" w:rsidRPr="00D76CEF">
        <w:t xml:space="preserve">27 springs in the North Llano River watershed and </w:t>
      </w:r>
      <w:r w:rsidRPr="00D76CEF">
        <w:t xml:space="preserve">20 springs within the South Llano River watershed. </w:t>
      </w:r>
      <w:r w:rsidR="002A2DB9" w:rsidRPr="00D76CEF">
        <w:t>More than 20</w:t>
      </w:r>
      <w:r w:rsidRPr="00D76CEF">
        <w:t xml:space="preserve"> </w:t>
      </w:r>
      <w:r w:rsidR="005A3450" w:rsidRPr="00D76CEF">
        <w:t xml:space="preserve">additional </w:t>
      </w:r>
      <w:r w:rsidRPr="00D76CEF">
        <w:t xml:space="preserve">springs, not included in the database, are located on USGS topographic maps. </w:t>
      </w:r>
      <w:r w:rsidR="00024A7B" w:rsidRPr="00D76CEF">
        <w:t>While the North Llano watershed has more springs than the South Llano, it has f</w:t>
      </w:r>
      <w:r w:rsidR="00430C15" w:rsidRPr="00D76CEF">
        <w:t>ar fewer high-flow springs. Five</w:t>
      </w:r>
      <w:r w:rsidR="00024A7B" w:rsidRPr="00D76CEF">
        <w:t xml:space="preserve"> springs with flow greater than </w:t>
      </w:r>
      <w:r w:rsidR="00283E6D" w:rsidRPr="00D76CEF">
        <w:t>0.2 cubic feet per second (100 gallons per minute)</w:t>
      </w:r>
      <w:r w:rsidR="00024A7B" w:rsidRPr="00D76CEF">
        <w:t xml:space="preserve"> </w:t>
      </w:r>
      <w:r w:rsidR="004E1AC0" w:rsidRPr="00D76CEF">
        <w:t>are found in the North Llano; eleven high-flow springs are</w:t>
      </w:r>
      <w:r w:rsidR="00AA391C">
        <w:t xml:space="preserve"> </w:t>
      </w:r>
      <w:r w:rsidR="004E1AC0" w:rsidRPr="00D76CEF">
        <w:t>found in the South Llano</w:t>
      </w:r>
      <w:r w:rsidR="00AA391C">
        <w:t xml:space="preserve"> (Figure x)</w:t>
      </w:r>
      <w:r w:rsidR="004E1AC0" w:rsidRPr="00D76CEF">
        <w:t>.</w:t>
      </w:r>
      <w:r w:rsidR="00024A7B" w:rsidRPr="00D76CEF">
        <w:t xml:space="preserve"> </w:t>
      </w:r>
      <w:r w:rsidR="00D35F2B">
        <w:rPr>
          <w:noProof/>
        </w:rPr>
        <w:drawing>
          <wp:inline distT="0" distB="0" distL="0" distR="0">
            <wp:extent cx="5943600" cy="6934200"/>
            <wp:effectExtent l="2540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943600" cy="6934200"/>
                    </a:xfrm>
                    <a:prstGeom prst="rect">
                      <a:avLst/>
                    </a:prstGeom>
                    <a:noFill/>
                    <a:ln w="9525">
                      <a:noFill/>
                      <a:miter lim="800000"/>
                      <a:headEnd/>
                      <a:tailEnd/>
                    </a:ln>
                  </pic:spPr>
                </pic:pic>
              </a:graphicData>
            </a:graphic>
          </wp:inline>
        </w:drawing>
      </w:r>
    </w:p>
    <w:p w:rsidR="004E1AC0" w:rsidRPr="00D76CEF" w:rsidRDefault="004E1AC0"/>
    <w:p w:rsidR="004E1AC0" w:rsidRPr="000D2BBE" w:rsidRDefault="00E47BE9">
      <w:pPr>
        <w:rPr>
          <w:b/>
          <w:i/>
        </w:rPr>
      </w:pPr>
      <w:r w:rsidRPr="000D2BBE">
        <w:rPr>
          <w:b/>
          <w:i/>
        </w:rPr>
        <w:t>North Llano</w:t>
      </w:r>
      <w:r w:rsidR="007D01AE" w:rsidRPr="000D2BBE">
        <w:rPr>
          <w:b/>
          <w:i/>
        </w:rPr>
        <w:t xml:space="preserve"> Watershed</w:t>
      </w:r>
    </w:p>
    <w:p w:rsidR="00EB2456" w:rsidRPr="00D76CEF" w:rsidRDefault="00A3207C">
      <w:r w:rsidRPr="00D76CEF">
        <w:t xml:space="preserve">The largest springs in the North Llano are Maynard Springs and Fort </w:t>
      </w:r>
      <w:proofErr w:type="spellStart"/>
      <w:r w:rsidRPr="00D76CEF">
        <w:t>Terrett</w:t>
      </w:r>
      <w:proofErr w:type="spellEnd"/>
      <w:r w:rsidR="00EB2456" w:rsidRPr="00D76CEF">
        <w:t xml:space="preserve"> (Adams)</w:t>
      </w:r>
      <w:r w:rsidRPr="00D76CEF">
        <w:t xml:space="preserve"> Springs. </w:t>
      </w:r>
      <w:r w:rsidR="00597A8A" w:rsidRPr="00D76CEF">
        <w:t>Maynard Springs is located on Maynard Creek, south of</w:t>
      </w:r>
      <w:r w:rsidR="008A26A5" w:rsidRPr="00D76CEF">
        <w:t xml:space="preserve"> Roosevelt in Kimble County. In 1965, </w:t>
      </w:r>
      <w:r w:rsidR="00F80AE5" w:rsidRPr="00D76CEF">
        <w:t xml:space="preserve">when many flow </w:t>
      </w:r>
      <w:proofErr w:type="spellStart"/>
      <w:r w:rsidR="00F80AE5" w:rsidRPr="00D76CEF">
        <w:t>springflow</w:t>
      </w:r>
      <w:proofErr w:type="spellEnd"/>
      <w:r w:rsidR="00F80AE5" w:rsidRPr="00D76CEF">
        <w:t xml:space="preserve"> measurements were taken in the </w:t>
      </w:r>
      <w:r w:rsidR="00B83C2D">
        <w:t>headwaters region of the Llano</w:t>
      </w:r>
      <w:r w:rsidR="00F80AE5" w:rsidRPr="00D76CEF">
        <w:t xml:space="preserve">, </w:t>
      </w:r>
      <w:r w:rsidR="008A26A5" w:rsidRPr="00D76CEF">
        <w:t xml:space="preserve">flow at Maynard Springs was estimated to be 700 </w:t>
      </w:r>
      <w:proofErr w:type="spellStart"/>
      <w:r w:rsidR="008A26A5" w:rsidRPr="00D76CEF">
        <w:t>gpm</w:t>
      </w:r>
      <w:proofErr w:type="spellEnd"/>
      <w:r w:rsidR="00683D9D" w:rsidRPr="00D76CEF">
        <w:t xml:space="preserve"> (1.5 </w:t>
      </w:r>
      <w:proofErr w:type="spellStart"/>
      <w:r w:rsidR="00683D9D" w:rsidRPr="00D76CEF">
        <w:t>cfs</w:t>
      </w:r>
      <w:proofErr w:type="spellEnd"/>
      <w:r w:rsidR="00683D9D" w:rsidRPr="00D76CEF">
        <w:t>)</w:t>
      </w:r>
      <w:r w:rsidR="008A26A5" w:rsidRPr="00D76CEF">
        <w:t xml:space="preserve">. Fort </w:t>
      </w:r>
      <w:proofErr w:type="spellStart"/>
      <w:r w:rsidR="008A26A5" w:rsidRPr="00D76CEF">
        <w:t>Terrett</w:t>
      </w:r>
      <w:proofErr w:type="spellEnd"/>
      <w:r w:rsidR="008A26A5" w:rsidRPr="00D76CEF">
        <w:t xml:space="preserve"> Springs is located in eastern Sutton Cou</w:t>
      </w:r>
      <w:r w:rsidR="003D4D8B" w:rsidRPr="00D76CEF">
        <w:t>nty and forms the headwaters of the North Llano River.</w:t>
      </w:r>
      <w:r w:rsidR="00F80AE5" w:rsidRPr="00D76CEF">
        <w:t xml:space="preserve"> </w:t>
      </w:r>
      <w:r w:rsidR="00EB2456" w:rsidRPr="00D76CEF">
        <w:t xml:space="preserve">The springs served as a water supply source for Fort </w:t>
      </w:r>
      <w:proofErr w:type="spellStart"/>
      <w:r w:rsidR="00EB2456" w:rsidRPr="00D76CEF">
        <w:t>Terrett</w:t>
      </w:r>
      <w:proofErr w:type="spellEnd"/>
      <w:r w:rsidR="00EB2456" w:rsidRPr="00D76CEF">
        <w:t xml:space="preserve">, opened in 1852. </w:t>
      </w:r>
    </w:p>
    <w:p w:rsidR="00EB2456" w:rsidRPr="00D76CEF" w:rsidRDefault="00EB2456"/>
    <w:p w:rsidR="00EB2456" w:rsidRPr="00D76CEF" w:rsidRDefault="00F80AE5">
      <w:r w:rsidRPr="00D76CEF">
        <w:t xml:space="preserve">Gunnar </w:t>
      </w:r>
      <w:proofErr w:type="spellStart"/>
      <w:r w:rsidRPr="00D76CEF">
        <w:t>Brune</w:t>
      </w:r>
      <w:proofErr w:type="spellEnd"/>
      <w:r w:rsidR="00EB2456" w:rsidRPr="00D76CEF">
        <w:t xml:space="preserve">, who </w:t>
      </w:r>
      <w:r w:rsidR="00C864EE" w:rsidRPr="00D76CEF">
        <w:t>authored</w:t>
      </w:r>
      <w:r w:rsidR="00EB2456" w:rsidRPr="00D76CEF">
        <w:t xml:space="preserve"> </w:t>
      </w:r>
      <w:r w:rsidR="00EB2456" w:rsidRPr="00D76CEF">
        <w:rPr>
          <w:i/>
        </w:rPr>
        <w:t>Springs of Texas,</w:t>
      </w:r>
      <w:r w:rsidR="00EB2456" w:rsidRPr="00D76CEF">
        <w:rPr>
          <w:rStyle w:val="EndnoteReference"/>
          <w:i/>
        </w:rPr>
        <w:endnoteReference w:id="16"/>
      </w:r>
      <w:r w:rsidRPr="00D76CEF">
        <w:t xml:space="preserve"> visited Fort </w:t>
      </w:r>
      <w:proofErr w:type="spellStart"/>
      <w:r w:rsidRPr="00D76CEF">
        <w:t>Terr</w:t>
      </w:r>
      <w:r w:rsidR="00EB2456" w:rsidRPr="00D76CEF">
        <w:t>ett</w:t>
      </w:r>
      <w:proofErr w:type="spellEnd"/>
      <w:r w:rsidR="00EB2456" w:rsidRPr="00D76CEF">
        <w:t xml:space="preserve"> Springs in 1978. </w:t>
      </w:r>
    </w:p>
    <w:p w:rsidR="00C864EE" w:rsidRPr="00D76CEF" w:rsidRDefault="00C864EE">
      <w:r w:rsidRPr="00D76CEF">
        <w:t xml:space="preserve">At that time, only 8 </w:t>
      </w:r>
      <w:proofErr w:type="spellStart"/>
      <w:r w:rsidRPr="00D76CEF">
        <w:t>gpm</w:t>
      </w:r>
      <w:proofErr w:type="spellEnd"/>
      <w:r w:rsidRPr="00D76CEF">
        <w:t xml:space="preserve"> leaked through two small dams designed to capture the spring</w:t>
      </w:r>
      <w:r w:rsidR="00FC1EB2" w:rsidRPr="00D76CEF">
        <w:t xml:space="preserve"> </w:t>
      </w:r>
      <w:r w:rsidRPr="00D76CEF">
        <w:t>flow. Given the historical significance of the spring, it is likely that the springs flowed at a gre</w:t>
      </w:r>
      <w:r w:rsidR="006C3083" w:rsidRPr="00D76CEF">
        <w:t xml:space="preserve">ater rate previously. </w:t>
      </w:r>
      <w:proofErr w:type="spellStart"/>
      <w:r w:rsidR="006C3083" w:rsidRPr="00D76CEF">
        <w:t>Brune</w:t>
      </w:r>
      <w:proofErr w:type="spellEnd"/>
      <w:r w:rsidRPr="00D76CEF">
        <w:t xml:space="preserve"> note</w:t>
      </w:r>
      <w:r w:rsidR="006C3083" w:rsidRPr="00D76CEF">
        <w:t>s</w:t>
      </w:r>
      <w:r w:rsidRPr="00D76CEF">
        <w:t xml:space="preserve"> the presence of bedrock mortars and </w:t>
      </w:r>
      <w:proofErr w:type="spellStart"/>
      <w:r w:rsidRPr="00D76CEF">
        <w:t>middens</w:t>
      </w:r>
      <w:proofErr w:type="spellEnd"/>
      <w:r w:rsidRPr="00D76CEF">
        <w:t xml:space="preserve"> found upstream from Fort </w:t>
      </w:r>
      <w:proofErr w:type="spellStart"/>
      <w:r w:rsidRPr="00D76CEF">
        <w:t>Terrett</w:t>
      </w:r>
      <w:proofErr w:type="spellEnd"/>
      <w:r w:rsidRPr="00D76CEF">
        <w:t xml:space="preserve"> Springs and speculates that the springs originally started about one kilometer upstream from the present spring.</w:t>
      </w:r>
    </w:p>
    <w:p w:rsidR="00C864EE" w:rsidRPr="00D76CEF" w:rsidRDefault="00C864EE"/>
    <w:p w:rsidR="00AB23CD" w:rsidRPr="00D76CEF" w:rsidRDefault="00C864EE">
      <w:r w:rsidRPr="00D76CEF">
        <w:t xml:space="preserve">Downstream of Fort </w:t>
      </w:r>
      <w:proofErr w:type="spellStart"/>
      <w:r w:rsidRPr="00D76CEF">
        <w:t>Terr</w:t>
      </w:r>
      <w:r w:rsidR="00D22FB3" w:rsidRPr="00D76CEF">
        <w:t>ett</w:t>
      </w:r>
      <w:proofErr w:type="spellEnd"/>
      <w:r w:rsidR="00D22FB3" w:rsidRPr="00D76CEF">
        <w:t xml:space="preserve"> springs, </w:t>
      </w:r>
      <w:proofErr w:type="spellStart"/>
      <w:r w:rsidR="00D22FB3" w:rsidRPr="00D76CEF">
        <w:t>Brune</w:t>
      </w:r>
      <w:proofErr w:type="spellEnd"/>
      <w:r w:rsidR="00D22FB3" w:rsidRPr="00D76CEF">
        <w:t xml:space="preserve"> describes</w:t>
      </w:r>
      <w:r w:rsidR="00306ABC">
        <w:t xml:space="preserve"> Adams Springs, composed of</w:t>
      </w:r>
      <w:r w:rsidRPr="00D76CEF">
        <w:t xml:space="preserve"> one large and many smaller springs “bursting into the north side of the river, chiefly below water line”.  Stream discharge measurements taken </w:t>
      </w:r>
      <w:r w:rsidR="00D22FB3" w:rsidRPr="00D76CEF">
        <w:t xml:space="preserve">at the upper River Road crossing of the North Llano River (below Fort </w:t>
      </w:r>
      <w:proofErr w:type="spellStart"/>
      <w:r w:rsidR="00D22FB3" w:rsidRPr="00D76CEF">
        <w:t>Terrett</w:t>
      </w:r>
      <w:proofErr w:type="spellEnd"/>
      <w:r w:rsidR="00D22FB3" w:rsidRPr="00D76CEF">
        <w:t xml:space="preserve"> and Adams Springs) by </w:t>
      </w:r>
      <w:proofErr w:type="spellStart"/>
      <w:r w:rsidR="00D22FB3" w:rsidRPr="00D76CEF">
        <w:t>Brune</w:t>
      </w:r>
      <w:proofErr w:type="spellEnd"/>
      <w:r w:rsidR="00D22FB3" w:rsidRPr="00D76CEF">
        <w:t xml:space="preserve"> and the author</w:t>
      </w:r>
      <w:r w:rsidR="006C3083" w:rsidRPr="00D76CEF">
        <w:t xml:space="preserve"> are shown in Table 1</w:t>
      </w:r>
      <w:r w:rsidR="00D22FB3" w:rsidRPr="00D76CEF">
        <w:t xml:space="preserve">. </w:t>
      </w:r>
      <w:r w:rsidR="00283E6D" w:rsidRPr="00D76CEF">
        <w:t>Taking measurements during extended dry periods minimizes the influence of surface water runoff from precipitation and provides a conservative estimate of flow from the groundwater system.</w:t>
      </w:r>
    </w:p>
    <w:p w:rsidR="00AB23CD" w:rsidRPr="00D76CEF" w:rsidRDefault="00AB23CD"/>
    <w:p w:rsidR="006C3083" w:rsidRPr="00D76CEF" w:rsidRDefault="00AB23CD">
      <w:r w:rsidRPr="00D76CEF">
        <w:rPr>
          <w:b/>
          <w:bCs/>
        </w:rPr>
        <w:t>Table 1. Measured Flows in cubic feet per second</w:t>
      </w:r>
      <w:r w:rsidR="00430C15" w:rsidRPr="00D76CEF">
        <w:rPr>
          <w:b/>
          <w:bCs/>
        </w:rPr>
        <w:t xml:space="preserve"> and gallons per minute</w:t>
      </w:r>
      <w:r w:rsidRPr="00D76CEF">
        <w:rPr>
          <w:b/>
          <w:bCs/>
        </w:rPr>
        <w:t xml:space="preserve"> for</w:t>
      </w:r>
      <w:r w:rsidR="00430C15" w:rsidRPr="00D76CEF">
        <w:rPr>
          <w:b/>
          <w:bCs/>
        </w:rPr>
        <w:t xml:space="preserve"> North Llano River below</w:t>
      </w:r>
      <w:r w:rsidRPr="00D76CEF">
        <w:rPr>
          <w:b/>
          <w:bCs/>
        </w:rPr>
        <w:t xml:space="preserve"> Fort </w:t>
      </w:r>
      <w:proofErr w:type="spellStart"/>
      <w:r w:rsidRPr="00D76CEF">
        <w:rPr>
          <w:b/>
          <w:bCs/>
        </w:rPr>
        <w:t>Terrett</w:t>
      </w:r>
      <w:proofErr w:type="spellEnd"/>
      <w:r w:rsidRPr="00D76CEF">
        <w:rPr>
          <w:b/>
          <w:bCs/>
        </w:rPr>
        <w:t xml:space="preserve"> </w:t>
      </w:r>
      <w:r w:rsidR="00430C15" w:rsidRPr="00D76CEF">
        <w:rPr>
          <w:b/>
          <w:bCs/>
        </w:rPr>
        <w:t xml:space="preserve">Springs </w:t>
      </w:r>
      <w:r w:rsidRPr="00D76CEF">
        <w:rPr>
          <w:b/>
          <w:bCs/>
        </w:rPr>
        <w:t>and Adams Springs</w:t>
      </w:r>
    </w:p>
    <w:p w:rsidR="00D22FB3" w:rsidRPr="00D76CEF" w:rsidRDefault="00D22FB3"/>
    <w:tbl>
      <w:tblPr>
        <w:tblW w:w="3687" w:type="dxa"/>
        <w:tblInd w:w="2445" w:type="dxa"/>
        <w:tblCellMar>
          <w:left w:w="0" w:type="dxa"/>
          <w:right w:w="0" w:type="dxa"/>
        </w:tblCellMar>
        <w:tblLook w:val="0000"/>
      </w:tblPr>
      <w:tblGrid>
        <w:gridCol w:w="1321"/>
        <w:gridCol w:w="1139"/>
        <w:gridCol w:w="1227"/>
      </w:tblGrid>
      <w:tr w:rsidR="00430C15" w:rsidRPr="00D76CEF">
        <w:trPr>
          <w:trHeight w:val="438"/>
        </w:trPr>
        <w:tc>
          <w:tcPr>
            <w:tcW w:w="1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30C15" w:rsidRPr="00D76CEF" w:rsidRDefault="00430C15">
            <w:pPr>
              <w:jc w:val="center"/>
              <w:rPr>
                <w:rFonts w:cs="Arial"/>
                <w:szCs w:val="20"/>
              </w:rPr>
            </w:pPr>
            <w:r w:rsidRPr="00D76CEF">
              <w:rPr>
                <w:rFonts w:cs="Arial"/>
                <w:szCs w:val="20"/>
              </w:rPr>
              <w:t>Date</w:t>
            </w:r>
          </w:p>
        </w:tc>
        <w:tc>
          <w:tcPr>
            <w:tcW w:w="11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30C15" w:rsidRPr="00D76CEF" w:rsidRDefault="00A85A5B">
            <w:pPr>
              <w:jc w:val="center"/>
              <w:rPr>
                <w:rFonts w:cs="Arial"/>
                <w:b/>
                <w:bCs/>
                <w:szCs w:val="20"/>
              </w:rPr>
            </w:pPr>
            <w:r w:rsidRPr="00D76CEF">
              <w:rPr>
                <w:rFonts w:cs="Arial"/>
                <w:b/>
                <w:bCs/>
                <w:szCs w:val="20"/>
              </w:rPr>
              <w:t>Flow</w:t>
            </w:r>
            <w:r w:rsidR="00430C15" w:rsidRPr="00D76CEF">
              <w:rPr>
                <w:rFonts w:cs="Arial"/>
                <w:b/>
                <w:bCs/>
                <w:szCs w:val="20"/>
              </w:rPr>
              <w:t xml:space="preserve"> (</w:t>
            </w:r>
            <w:proofErr w:type="spellStart"/>
            <w:r w:rsidR="00430C15" w:rsidRPr="00D76CEF">
              <w:rPr>
                <w:rFonts w:cs="Arial"/>
                <w:b/>
                <w:bCs/>
                <w:szCs w:val="20"/>
              </w:rPr>
              <w:t>cfs</w:t>
            </w:r>
            <w:proofErr w:type="spellEnd"/>
            <w:r w:rsidR="00430C15" w:rsidRPr="00D76CEF">
              <w:rPr>
                <w:rFonts w:cs="Arial"/>
                <w:b/>
                <w:bCs/>
                <w:szCs w:val="20"/>
              </w:rPr>
              <w:t>)</w:t>
            </w:r>
          </w:p>
        </w:tc>
        <w:tc>
          <w:tcPr>
            <w:tcW w:w="1227" w:type="dxa"/>
            <w:tcBorders>
              <w:top w:val="single" w:sz="4" w:space="0" w:color="auto"/>
              <w:bottom w:val="single" w:sz="4" w:space="0" w:color="auto"/>
              <w:right w:val="single" w:sz="4" w:space="0" w:color="auto"/>
            </w:tcBorders>
            <w:shd w:val="clear" w:color="auto" w:fill="auto"/>
          </w:tcPr>
          <w:p w:rsidR="00090674" w:rsidRPr="00D76CEF" w:rsidRDefault="00090674">
            <w:pPr>
              <w:rPr>
                <w:rFonts w:cs="Arial"/>
                <w:b/>
                <w:bCs/>
                <w:szCs w:val="20"/>
              </w:rPr>
            </w:pPr>
          </w:p>
          <w:p w:rsidR="00430C15" w:rsidRPr="00D76CEF" w:rsidRDefault="00430C15" w:rsidP="00A85A5B">
            <w:pPr>
              <w:jc w:val="center"/>
            </w:pPr>
            <w:r w:rsidRPr="00D76CEF">
              <w:rPr>
                <w:rFonts w:cs="Arial"/>
                <w:b/>
                <w:bCs/>
                <w:szCs w:val="20"/>
              </w:rPr>
              <w:t>Flow (</w:t>
            </w:r>
            <w:proofErr w:type="spellStart"/>
            <w:r w:rsidRPr="00D76CEF">
              <w:rPr>
                <w:rFonts w:cs="Arial"/>
                <w:b/>
                <w:bCs/>
                <w:szCs w:val="20"/>
              </w:rPr>
              <w:t>gpm</w:t>
            </w:r>
            <w:proofErr w:type="spellEnd"/>
            <w:r w:rsidRPr="00D76CEF">
              <w:rPr>
                <w:rFonts w:cs="Arial"/>
                <w:b/>
                <w:bCs/>
                <w:szCs w:val="20"/>
              </w:rPr>
              <w:t>)</w:t>
            </w:r>
          </w:p>
        </w:tc>
      </w:tr>
      <w:tr w:rsidR="00430C15" w:rsidRPr="00D76CEF">
        <w:trPr>
          <w:trHeight w:val="350"/>
        </w:trPr>
        <w:tc>
          <w:tcPr>
            <w:tcW w:w="1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30C15" w:rsidRPr="00D76CEF" w:rsidRDefault="00430C15">
            <w:pPr>
              <w:jc w:val="center"/>
              <w:rPr>
                <w:rFonts w:cs="Arial"/>
                <w:b/>
                <w:bCs/>
                <w:szCs w:val="20"/>
              </w:rPr>
            </w:pPr>
            <w:r w:rsidRPr="00D76CEF">
              <w:rPr>
                <w:rFonts w:cs="Arial"/>
                <w:b/>
                <w:bCs/>
                <w:szCs w:val="20"/>
              </w:rPr>
              <w:t>Feb 1925</w:t>
            </w:r>
          </w:p>
        </w:tc>
        <w:tc>
          <w:tcPr>
            <w:tcW w:w="11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30C15" w:rsidRPr="00D76CEF" w:rsidRDefault="00430C15">
            <w:pPr>
              <w:jc w:val="center"/>
              <w:rPr>
                <w:rFonts w:cs="Arial"/>
                <w:szCs w:val="20"/>
              </w:rPr>
            </w:pPr>
            <w:r w:rsidRPr="00D76CEF">
              <w:rPr>
                <w:rFonts w:cs="Arial"/>
                <w:szCs w:val="20"/>
              </w:rPr>
              <w:t>13</w:t>
            </w:r>
          </w:p>
        </w:tc>
        <w:tc>
          <w:tcPr>
            <w:tcW w:w="1227" w:type="dxa"/>
            <w:tcBorders>
              <w:top w:val="single" w:sz="4" w:space="0" w:color="auto"/>
              <w:bottom w:val="single" w:sz="4" w:space="0" w:color="auto"/>
              <w:right w:val="single" w:sz="4" w:space="0" w:color="auto"/>
            </w:tcBorders>
            <w:shd w:val="clear" w:color="auto" w:fill="auto"/>
          </w:tcPr>
          <w:p w:rsidR="00430C15" w:rsidRPr="00D76CEF" w:rsidRDefault="00090674" w:rsidP="00A85A5B">
            <w:pPr>
              <w:jc w:val="center"/>
            </w:pPr>
            <w:r w:rsidRPr="00D76CEF">
              <w:t>5,700</w:t>
            </w:r>
          </w:p>
        </w:tc>
      </w:tr>
      <w:tr w:rsidR="00430C15" w:rsidRPr="00D76CEF">
        <w:trPr>
          <w:trHeight w:val="350"/>
        </w:trPr>
        <w:tc>
          <w:tcPr>
            <w:tcW w:w="13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30C15" w:rsidRPr="00D76CEF" w:rsidRDefault="00430C15">
            <w:pPr>
              <w:jc w:val="center"/>
              <w:rPr>
                <w:rFonts w:cs="Arial"/>
                <w:b/>
                <w:bCs/>
                <w:szCs w:val="20"/>
              </w:rPr>
            </w:pPr>
            <w:r w:rsidRPr="00D76CEF">
              <w:rPr>
                <w:rFonts w:cs="Arial"/>
                <w:b/>
                <w:bCs/>
                <w:szCs w:val="20"/>
              </w:rPr>
              <w:t>Dec 1978</w:t>
            </w:r>
          </w:p>
        </w:tc>
        <w:tc>
          <w:tcPr>
            <w:tcW w:w="113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30C15" w:rsidRPr="00D76CEF" w:rsidRDefault="00430C15">
            <w:pPr>
              <w:jc w:val="center"/>
              <w:rPr>
                <w:rFonts w:cs="Arial"/>
                <w:szCs w:val="20"/>
              </w:rPr>
            </w:pPr>
            <w:r w:rsidRPr="00D76CEF">
              <w:rPr>
                <w:rFonts w:cs="Arial"/>
                <w:szCs w:val="20"/>
              </w:rPr>
              <w:t>15</w:t>
            </w:r>
          </w:p>
        </w:tc>
        <w:tc>
          <w:tcPr>
            <w:tcW w:w="1227" w:type="dxa"/>
            <w:tcBorders>
              <w:top w:val="single" w:sz="4" w:space="0" w:color="auto"/>
              <w:bottom w:val="single" w:sz="4" w:space="0" w:color="auto"/>
              <w:right w:val="single" w:sz="4" w:space="0" w:color="auto"/>
            </w:tcBorders>
            <w:shd w:val="clear" w:color="auto" w:fill="auto"/>
          </w:tcPr>
          <w:p w:rsidR="00430C15" w:rsidRPr="00D76CEF" w:rsidRDefault="00090674" w:rsidP="00A85A5B">
            <w:pPr>
              <w:jc w:val="center"/>
            </w:pPr>
            <w:r w:rsidRPr="00D76CEF">
              <w:t>6,700</w:t>
            </w:r>
          </w:p>
        </w:tc>
      </w:tr>
      <w:tr w:rsidR="00430C15" w:rsidRPr="00D76CEF">
        <w:trPr>
          <w:trHeight w:val="350"/>
        </w:trPr>
        <w:tc>
          <w:tcPr>
            <w:tcW w:w="13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30C15" w:rsidRPr="00D76CEF" w:rsidRDefault="00430C15">
            <w:pPr>
              <w:jc w:val="center"/>
              <w:rPr>
                <w:rFonts w:cs="Arial"/>
                <w:b/>
                <w:bCs/>
                <w:szCs w:val="20"/>
              </w:rPr>
            </w:pPr>
            <w:r w:rsidRPr="00D76CEF">
              <w:rPr>
                <w:rFonts w:cs="Arial"/>
                <w:b/>
                <w:bCs/>
                <w:szCs w:val="20"/>
              </w:rPr>
              <w:t>Apr 2011</w:t>
            </w:r>
          </w:p>
        </w:tc>
        <w:tc>
          <w:tcPr>
            <w:tcW w:w="113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30C15" w:rsidRPr="00D76CEF" w:rsidRDefault="00430C15">
            <w:pPr>
              <w:jc w:val="center"/>
              <w:rPr>
                <w:rFonts w:cs="Arial"/>
                <w:szCs w:val="20"/>
              </w:rPr>
            </w:pPr>
            <w:r w:rsidRPr="00D76CEF">
              <w:rPr>
                <w:rFonts w:cs="Arial"/>
                <w:szCs w:val="20"/>
              </w:rPr>
              <w:t>6.5</w:t>
            </w:r>
          </w:p>
        </w:tc>
        <w:tc>
          <w:tcPr>
            <w:tcW w:w="1227" w:type="dxa"/>
            <w:tcBorders>
              <w:top w:val="single" w:sz="4" w:space="0" w:color="auto"/>
              <w:bottom w:val="single" w:sz="4" w:space="0" w:color="auto"/>
              <w:right w:val="single" w:sz="4" w:space="0" w:color="auto"/>
            </w:tcBorders>
            <w:shd w:val="clear" w:color="auto" w:fill="auto"/>
          </w:tcPr>
          <w:p w:rsidR="00430C15" w:rsidRPr="00D76CEF" w:rsidRDefault="00090674" w:rsidP="00A85A5B">
            <w:pPr>
              <w:jc w:val="center"/>
            </w:pPr>
            <w:r w:rsidRPr="00D76CEF">
              <w:t>2,900</w:t>
            </w:r>
          </w:p>
        </w:tc>
      </w:tr>
      <w:tr w:rsidR="00430C15" w:rsidRPr="00D76CEF">
        <w:trPr>
          <w:trHeight w:val="350"/>
        </w:trPr>
        <w:tc>
          <w:tcPr>
            <w:tcW w:w="13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30C15" w:rsidRPr="00D76CEF" w:rsidRDefault="00430C15">
            <w:pPr>
              <w:jc w:val="center"/>
              <w:rPr>
                <w:rFonts w:cs="Arial"/>
                <w:b/>
                <w:bCs/>
                <w:szCs w:val="20"/>
              </w:rPr>
            </w:pPr>
            <w:r w:rsidRPr="00D76CEF">
              <w:rPr>
                <w:rFonts w:cs="Arial"/>
                <w:b/>
                <w:bCs/>
                <w:szCs w:val="20"/>
              </w:rPr>
              <w:t>Jun 2011</w:t>
            </w:r>
          </w:p>
        </w:tc>
        <w:tc>
          <w:tcPr>
            <w:tcW w:w="113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30C15" w:rsidRPr="00D76CEF" w:rsidRDefault="00430C15">
            <w:pPr>
              <w:jc w:val="center"/>
              <w:rPr>
                <w:rFonts w:cs="Arial"/>
                <w:szCs w:val="20"/>
              </w:rPr>
            </w:pPr>
            <w:r w:rsidRPr="00D76CEF">
              <w:rPr>
                <w:rFonts w:cs="Arial"/>
                <w:szCs w:val="20"/>
              </w:rPr>
              <w:t>6.2</w:t>
            </w:r>
          </w:p>
        </w:tc>
        <w:tc>
          <w:tcPr>
            <w:tcW w:w="1227" w:type="dxa"/>
            <w:tcBorders>
              <w:top w:val="single" w:sz="4" w:space="0" w:color="auto"/>
              <w:bottom w:val="single" w:sz="4" w:space="0" w:color="auto"/>
              <w:right w:val="single" w:sz="4" w:space="0" w:color="auto"/>
            </w:tcBorders>
            <w:shd w:val="clear" w:color="auto" w:fill="auto"/>
          </w:tcPr>
          <w:p w:rsidR="00430C15" w:rsidRPr="00D76CEF" w:rsidRDefault="00090674" w:rsidP="00A85A5B">
            <w:pPr>
              <w:jc w:val="center"/>
            </w:pPr>
            <w:r w:rsidRPr="00D76CEF">
              <w:t>2,800</w:t>
            </w:r>
          </w:p>
        </w:tc>
      </w:tr>
      <w:tr w:rsidR="00430C15" w:rsidRPr="00D76CEF">
        <w:trPr>
          <w:trHeight w:val="350"/>
        </w:trPr>
        <w:tc>
          <w:tcPr>
            <w:tcW w:w="13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30C15" w:rsidRPr="00D76CEF" w:rsidRDefault="00430C15">
            <w:pPr>
              <w:jc w:val="center"/>
              <w:rPr>
                <w:rFonts w:cs="Arial"/>
                <w:bCs/>
                <w:szCs w:val="20"/>
                <w:vertAlign w:val="superscript"/>
              </w:rPr>
            </w:pPr>
            <w:r w:rsidRPr="00D76CEF">
              <w:rPr>
                <w:rFonts w:cs="Arial"/>
                <w:b/>
                <w:bCs/>
                <w:szCs w:val="20"/>
              </w:rPr>
              <w:t>Sep 2011</w:t>
            </w:r>
          </w:p>
        </w:tc>
        <w:tc>
          <w:tcPr>
            <w:tcW w:w="113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30C15" w:rsidRPr="00D76CEF" w:rsidRDefault="00430C15">
            <w:pPr>
              <w:jc w:val="center"/>
              <w:rPr>
                <w:rFonts w:cs="Arial"/>
                <w:szCs w:val="20"/>
              </w:rPr>
            </w:pPr>
            <w:r w:rsidRPr="00D76CEF">
              <w:rPr>
                <w:rFonts w:cs="Arial"/>
                <w:szCs w:val="20"/>
              </w:rPr>
              <w:t>3.0</w:t>
            </w:r>
          </w:p>
        </w:tc>
        <w:tc>
          <w:tcPr>
            <w:tcW w:w="1227" w:type="dxa"/>
            <w:tcBorders>
              <w:top w:val="single" w:sz="4" w:space="0" w:color="auto"/>
              <w:bottom w:val="single" w:sz="4" w:space="0" w:color="auto"/>
              <w:right w:val="single" w:sz="4" w:space="0" w:color="auto"/>
            </w:tcBorders>
            <w:shd w:val="clear" w:color="auto" w:fill="auto"/>
          </w:tcPr>
          <w:p w:rsidR="00430C15" w:rsidRPr="00D76CEF" w:rsidRDefault="00090674" w:rsidP="00A85A5B">
            <w:pPr>
              <w:jc w:val="center"/>
            </w:pPr>
            <w:r w:rsidRPr="00D76CEF">
              <w:t>1,400</w:t>
            </w:r>
          </w:p>
        </w:tc>
      </w:tr>
    </w:tbl>
    <w:p w:rsidR="00597A8A" w:rsidRPr="00D76CEF" w:rsidRDefault="00597A8A"/>
    <w:p w:rsidR="001F3AA5" w:rsidRPr="00D76CEF" w:rsidRDefault="001F3AA5">
      <w:r w:rsidRPr="00D76CEF">
        <w:t xml:space="preserve">In 1925, a gain/loss study on the North Llano between Roosevelt and the mouth of the river demonstrated that groundwater contributed 6.9 </w:t>
      </w:r>
      <w:proofErr w:type="spellStart"/>
      <w:r w:rsidRPr="00D76CEF">
        <w:t>cfs</w:t>
      </w:r>
      <w:proofErr w:type="spellEnd"/>
      <w:r w:rsidRPr="00D76CEF">
        <w:t xml:space="preserve"> to the flow of the river.</w:t>
      </w:r>
      <w:r w:rsidR="00345B2C" w:rsidRPr="00D76CEF">
        <w:rPr>
          <w:rStyle w:val="EndnoteReference"/>
        </w:rPr>
        <w:endnoteReference w:id="17"/>
      </w:r>
      <w:r w:rsidR="00345B2C" w:rsidRPr="00D76CEF">
        <w:t xml:space="preserve"> </w:t>
      </w:r>
      <w:r w:rsidR="00A14D95" w:rsidRPr="00D76CEF">
        <w:t xml:space="preserve">During the drought of 2011, </w:t>
      </w:r>
      <w:r w:rsidR="001578A8" w:rsidRPr="00D76CEF">
        <w:t xml:space="preserve">April flow in the North Llano River exhibited increasing flows below Ft. </w:t>
      </w:r>
      <w:proofErr w:type="spellStart"/>
      <w:r w:rsidR="001578A8" w:rsidRPr="00D76CEF">
        <w:t>Terrett</w:t>
      </w:r>
      <w:proofErr w:type="spellEnd"/>
      <w:r w:rsidR="006C6156" w:rsidRPr="00D76CEF">
        <w:t xml:space="preserve">, with 10 </w:t>
      </w:r>
      <w:proofErr w:type="spellStart"/>
      <w:r w:rsidR="006C6156" w:rsidRPr="00D76CEF">
        <w:t>cfs</w:t>
      </w:r>
      <w:proofErr w:type="spellEnd"/>
      <w:r w:rsidR="006C6156" w:rsidRPr="00D76CEF">
        <w:t xml:space="preserve"> </w:t>
      </w:r>
      <w:r w:rsidR="001578A8" w:rsidRPr="00D76CEF">
        <w:t>below the confluence of Maynard</w:t>
      </w:r>
      <w:r w:rsidR="006C6156" w:rsidRPr="00D76CEF">
        <w:t xml:space="preserve"> Creek, 12 </w:t>
      </w:r>
      <w:proofErr w:type="spellStart"/>
      <w:r w:rsidR="006C6156" w:rsidRPr="00D76CEF">
        <w:t>cfs</w:t>
      </w:r>
      <w:proofErr w:type="spellEnd"/>
      <w:r w:rsidR="006C6156" w:rsidRPr="00D76CEF">
        <w:t xml:space="preserve"> below the confluence of Copperas Creek, and 14 </w:t>
      </w:r>
      <w:proofErr w:type="spellStart"/>
      <w:r w:rsidR="006C6156" w:rsidRPr="00D76CEF">
        <w:t>cfs</w:t>
      </w:r>
      <w:proofErr w:type="spellEnd"/>
      <w:r w:rsidR="006C6156" w:rsidRPr="00D76CEF">
        <w:t xml:space="preserve"> at the USGS gauge four miles above the mouth.</w:t>
      </w:r>
      <w:r w:rsidR="001578A8" w:rsidRPr="00D76CEF">
        <w:t xml:space="preserve"> </w:t>
      </w:r>
      <w:r w:rsidR="006C6156" w:rsidRPr="00D76CEF">
        <w:t xml:space="preserve">But </w:t>
      </w:r>
      <w:r w:rsidR="002A0853" w:rsidRPr="00D76CEF">
        <w:t>from June 9 to</w:t>
      </w:r>
      <w:r w:rsidRPr="00D76CEF">
        <w:t xml:space="preserve"> October 7</w:t>
      </w:r>
      <w:r w:rsidR="006C6156" w:rsidRPr="00D76CEF">
        <w:t>, zero flow was recorded at the gauge</w:t>
      </w:r>
      <w:r w:rsidRPr="00D76CEF">
        <w:t xml:space="preserve">. However, </w:t>
      </w:r>
      <w:r w:rsidR="00090674" w:rsidRPr="00D76CEF">
        <w:t xml:space="preserve">flow from the complex of headwater springs of the North Llano (Fort </w:t>
      </w:r>
      <w:proofErr w:type="spellStart"/>
      <w:r w:rsidR="00090674" w:rsidRPr="00D76CEF">
        <w:t>Terrett</w:t>
      </w:r>
      <w:proofErr w:type="spellEnd"/>
      <w:r w:rsidR="00090674" w:rsidRPr="00D76CEF">
        <w:t xml:space="preserve"> and Adams), along with the flow from Maynard Spring </w:t>
      </w:r>
      <w:r w:rsidR="005F3F2B" w:rsidRPr="00D76CEF">
        <w:t xml:space="preserve">and smaller springs along Copperas Creek, </w:t>
      </w:r>
      <w:r w:rsidR="00A14D95" w:rsidRPr="00D76CEF">
        <w:t>maintained some flow in the upper reaches of the North Llano River</w:t>
      </w:r>
      <w:r w:rsidR="005F3F2B" w:rsidRPr="00D76CEF">
        <w:t xml:space="preserve"> and its tributaries</w:t>
      </w:r>
      <w:r w:rsidR="00A14D95" w:rsidRPr="00D76CEF">
        <w:t>.</w:t>
      </w:r>
      <w:r w:rsidR="0003107B" w:rsidRPr="00D76CEF">
        <w:t xml:space="preserve"> </w:t>
      </w:r>
    </w:p>
    <w:p w:rsidR="00430C15" w:rsidRPr="00D76CEF" w:rsidRDefault="00430C15"/>
    <w:p w:rsidR="00E47BE9" w:rsidRPr="000D2BBE" w:rsidRDefault="00E47BE9">
      <w:pPr>
        <w:rPr>
          <w:b/>
          <w:i/>
        </w:rPr>
      </w:pPr>
      <w:r w:rsidRPr="000D2BBE">
        <w:rPr>
          <w:b/>
          <w:i/>
        </w:rPr>
        <w:t>South Llano</w:t>
      </w:r>
      <w:r w:rsidR="007D01AE" w:rsidRPr="000D2BBE">
        <w:rPr>
          <w:b/>
          <w:i/>
        </w:rPr>
        <w:t xml:space="preserve"> Watershed</w:t>
      </w:r>
    </w:p>
    <w:p w:rsidR="000C47D4" w:rsidRPr="00D76CEF" w:rsidRDefault="000C47D4">
      <w:r w:rsidRPr="00D76CEF">
        <w:t xml:space="preserve">Three large springs, located near the Kimble and Edwards County line contribute the majority of the flow to the </w:t>
      </w:r>
      <w:r w:rsidR="00283E6D" w:rsidRPr="00D76CEF">
        <w:t>South Llano r</w:t>
      </w:r>
      <w:r w:rsidRPr="00D76CEF">
        <w:t xml:space="preserve">iver: Seven Hundred Springs and Tanner Springs are located on the left (northwest) bank of the South Llano; Big Paint Springs is located on the right (east) bank of Big Paint Creek, which flows into the South Llano from the east just upstream of the community of Telegraph. </w:t>
      </w:r>
    </w:p>
    <w:p w:rsidR="000C47D4" w:rsidRPr="00D76CEF" w:rsidRDefault="000C47D4"/>
    <w:p w:rsidR="000C47D4" w:rsidRPr="00D76CEF" w:rsidRDefault="000C47D4">
      <w:r w:rsidRPr="00D76CEF">
        <w:t xml:space="preserve">While there is a long record of discharge data for the Llano River, discharge data for the major springs of the South Llano are less abundant. Since 1959, the USGS has measured discharge from Seven Hundred Springs, two to eight times a year during extended dry periods. USGS has also made similar measurements at Tanner Springs since 1987. No regular discharge measurements are made at Big Paint Springs. </w:t>
      </w:r>
    </w:p>
    <w:p w:rsidR="000C47D4" w:rsidRPr="00D76CEF" w:rsidRDefault="000C47D4"/>
    <w:p w:rsidR="000C47D4" w:rsidRPr="00D76CEF" w:rsidRDefault="000C4884">
      <w:r w:rsidRPr="00D76CEF">
        <w:t>Table 2</w:t>
      </w:r>
      <w:r w:rsidR="000C47D4" w:rsidRPr="00D76CEF">
        <w:t xml:space="preserve"> shows the recorded median and low flows for Seven Hundred and Tanner Springs, along with recorded median and low flows for the South Llano River below Seven Hundred Springs. The lowest recorded flow for Seven Hundred Springs and the South Llano River occurred in 1980. Gunnar </w:t>
      </w:r>
      <w:proofErr w:type="spellStart"/>
      <w:r w:rsidR="000C47D4" w:rsidRPr="00D76CEF">
        <w:t>Brune</w:t>
      </w:r>
      <w:proofErr w:type="spellEnd"/>
      <w:r w:rsidR="000C47D4" w:rsidRPr="00D76CEF">
        <w:t xml:space="preserve">, in </w:t>
      </w:r>
      <w:r w:rsidR="000C47D4" w:rsidRPr="00D76CEF">
        <w:rPr>
          <w:i/>
          <w:iCs/>
        </w:rPr>
        <w:t xml:space="preserve">Springs of Texas, </w:t>
      </w:r>
      <w:r w:rsidR="000C47D4" w:rsidRPr="00D76CEF">
        <w:rPr>
          <w:rStyle w:val="EndnoteReference"/>
        </w:rPr>
        <w:endnoteReference w:id="18"/>
      </w:r>
      <w:r w:rsidR="000C47D4" w:rsidRPr="00D76CEF">
        <w:t xml:space="preserve"> notes the flow of Seven Hundred Springs in 1952 and in 1956 (during the drought of the 1950’s) was 11 cubic feet per second (</w:t>
      </w:r>
      <w:proofErr w:type="spellStart"/>
      <w:r w:rsidR="000C47D4" w:rsidRPr="00D76CEF">
        <w:t>cfs</w:t>
      </w:r>
      <w:proofErr w:type="spellEnd"/>
      <w:r w:rsidR="000C47D4" w:rsidRPr="00D76CEF">
        <w:t xml:space="preserve">).  </w:t>
      </w:r>
      <w:r w:rsidR="00E8783A" w:rsidRPr="00D76CEF">
        <w:t>During the drought of 2011, spring</w:t>
      </w:r>
      <w:r w:rsidR="00FC1EB2" w:rsidRPr="00D76CEF">
        <w:t xml:space="preserve"> </w:t>
      </w:r>
      <w:r w:rsidR="00E8783A" w:rsidRPr="00D76CEF">
        <w:t xml:space="preserve">flow was reduced to 11.7 </w:t>
      </w:r>
      <w:proofErr w:type="spellStart"/>
      <w:r w:rsidR="00E8783A" w:rsidRPr="00D76CEF">
        <w:t>cfs</w:t>
      </w:r>
      <w:proofErr w:type="spellEnd"/>
      <w:r w:rsidR="00E8783A" w:rsidRPr="00D76CEF">
        <w:t xml:space="preserve">. </w:t>
      </w:r>
      <w:r w:rsidR="000C47D4" w:rsidRPr="00D76CEF">
        <w:t>The springs of the South Llano River above the confluence with Big Paint Creek generally provide about half of the flow (49%) to the Llano River at Junction during extended dry periods.</w:t>
      </w:r>
    </w:p>
    <w:p w:rsidR="000C47D4" w:rsidRPr="00D76CEF" w:rsidRDefault="000C47D4">
      <w:pPr>
        <w:pStyle w:val="NormalWeb"/>
        <w:spacing w:before="0" w:beforeAutospacing="0" w:after="0" w:afterAutospacing="0"/>
      </w:pPr>
    </w:p>
    <w:p w:rsidR="000C47D4" w:rsidRPr="00D76CEF" w:rsidRDefault="000C4884">
      <w:pPr>
        <w:ind w:left="360"/>
        <w:jc w:val="center"/>
        <w:rPr>
          <w:b/>
          <w:bCs/>
        </w:rPr>
      </w:pPr>
      <w:r w:rsidRPr="00D76CEF">
        <w:rPr>
          <w:b/>
          <w:bCs/>
        </w:rPr>
        <w:t>Table 2</w:t>
      </w:r>
      <w:r w:rsidR="000C47D4" w:rsidRPr="00D76CEF">
        <w:rPr>
          <w:b/>
          <w:bCs/>
        </w:rPr>
        <w:t xml:space="preserve">. Recorded Median and Low Flows in cubic feet per second for Seven Hundred and Tanner Springs </w:t>
      </w:r>
      <w:r w:rsidR="000C47D4" w:rsidRPr="00D76CEF">
        <w:rPr>
          <w:rStyle w:val="EndnoteReference"/>
        </w:rPr>
        <w:endnoteReference w:id="19"/>
      </w:r>
    </w:p>
    <w:p w:rsidR="000C47D4" w:rsidRPr="00D76CEF" w:rsidRDefault="007C10D9" w:rsidP="007C10D9">
      <w:pPr>
        <w:tabs>
          <w:tab w:val="left" w:pos="6560"/>
        </w:tabs>
        <w:ind w:left="360"/>
        <w:rPr>
          <w:b/>
          <w:bCs/>
        </w:rPr>
      </w:pPr>
      <w:r w:rsidRPr="00D76CEF">
        <w:rPr>
          <w:b/>
          <w:bCs/>
        </w:rPr>
        <w:tab/>
      </w:r>
    </w:p>
    <w:tbl>
      <w:tblPr>
        <w:tblW w:w="7580" w:type="dxa"/>
        <w:jc w:val="center"/>
        <w:tblCellMar>
          <w:left w:w="0" w:type="dxa"/>
          <w:right w:w="0" w:type="dxa"/>
        </w:tblCellMar>
        <w:tblLook w:val="0000"/>
      </w:tblPr>
      <w:tblGrid>
        <w:gridCol w:w="2372"/>
        <w:gridCol w:w="1562"/>
        <w:gridCol w:w="1164"/>
        <w:gridCol w:w="1243"/>
        <w:gridCol w:w="1239"/>
      </w:tblGrid>
      <w:tr w:rsidR="000C47D4" w:rsidRPr="00D76CEF">
        <w:trPr>
          <w:trHeight w:val="439"/>
          <w:jc w:val="center"/>
        </w:trPr>
        <w:tc>
          <w:tcPr>
            <w:tcW w:w="198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0C47D4" w:rsidRPr="00D76CEF" w:rsidRDefault="000C47D4">
            <w:pPr>
              <w:ind w:left="360"/>
              <w:rPr>
                <w:rFonts w:cs="Arial"/>
                <w:b/>
                <w:bCs/>
                <w:szCs w:val="20"/>
              </w:rPr>
            </w:pPr>
          </w:p>
        </w:tc>
        <w:tc>
          <w:tcPr>
            <w:tcW w:w="16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
                <w:bCs/>
                <w:szCs w:val="20"/>
              </w:rPr>
            </w:pPr>
            <w:r w:rsidRPr="00D76CEF">
              <w:rPr>
                <w:rFonts w:cs="Arial"/>
                <w:b/>
                <w:bCs/>
                <w:szCs w:val="20"/>
              </w:rPr>
              <w:t>Seven Hundred</w:t>
            </w:r>
          </w:p>
        </w:tc>
        <w:tc>
          <w:tcPr>
            <w:tcW w:w="12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
                <w:bCs/>
                <w:szCs w:val="20"/>
              </w:rPr>
            </w:pPr>
            <w:r w:rsidRPr="00D76CEF">
              <w:rPr>
                <w:rFonts w:cs="Arial"/>
                <w:b/>
                <w:bCs/>
                <w:szCs w:val="20"/>
              </w:rPr>
              <w:t>Tanner</w:t>
            </w:r>
          </w:p>
        </w:tc>
        <w:tc>
          <w:tcPr>
            <w:tcW w:w="1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
                <w:bCs/>
                <w:szCs w:val="20"/>
                <w:vertAlign w:val="superscript"/>
              </w:rPr>
            </w:pPr>
            <w:r w:rsidRPr="00D76CEF">
              <w:rPr>
                <w:rFonts w:cs="Arial"/>
                <w:b/>
                <w:bCs/>
                <w:szCs w:val="20"/>
              </w:rPr>
              <w:t xml:space="preserve">South Llano </w:t>
            </w:r>
            <w:r w:rsidRPr="00D76CEF">
              <w:rPr>
                <w:rFonts w:cs="Arial"/>
                <w:b/>
                <w:bCs/>
                <w:szCs w:val="20"/>
                <w:vertAlign w:val="superscript"/>
              </w:rPr>
              <w:t>a</w:t>
            </w:r>
          </w:p>
        </w:tc>
        <w:tc>
          <w:tcPr>
            <w:tcW w:w="136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
                <w:bCs/>
                <w:szCs w:val="20"/>
                <w:vertAlign w:val="superscript"/>
              </w:rPr>
            </w:pPr>
            <w:r w:rsidRPr="00D76CEF">
              <w:rPr>
                <w:rFonts w:cs="Arial"/>
                <w:b/>
                <w:bCs/>
                <w:szCs w:val="20"/>
              </w:rPr>
              <w:t xml:space="preserve">% </w:t>
            </w:r>
            <w:proofErr w:type="gramStart"/>
            <w:r w:rsidRPr="00D76CEF">
              <w:rPr>
                <w:rFonts w:cs="Arial"/>
                <w:b/>
                <w:bCs/>
                <w:szCs w:val="20"/>
              </w:rPr>
              <w:t>of</w:t>
            </w:r>
            <w:proofErr w:type="gramEnd"/>
            <w:r w:rsidRPr="00D76CEF">
              <w:rPr>
                <w:rFonts w:cs="Arial"/>
                <w:b/>
                <w:bCs/>
                <w:szCs w:val="20"/>
              </w:rPr>
              <w:t xml:space="preserve"> Llano</w:t>
            </w:r>
            <w:r w:rsidRPr="00D76CEF">
              <w:rPr>
                <w:rFonts w:cs="Arial"/>
                <w:b/>
                <w:bCs/>
                <w:szCs w:val="20"/>
                <w:vertAlign w:val="superscript"/>
              </w:rPr>
              <w:t xml:space="preserve"> b</w:t>
            </w:r>
          </w:p>
        </w:tc>
      </w:tr>
      <w:tr w:rsidR="000C47D4" w:rsidRPr="00D76CEF">
        <w:trPr>
          <w:trHeight w:val="439"/>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0C47D4" w:rsidRPr="00D76CEF" w:rsidRDefault="000C47D4">
            <w:pPr>
              <w:pStyle w:val="Heading4"/>
              <w:ind w:left="360"/>
              <w:jc w:val="left"/>
              <w:rPr>
                <w:rFonts w:ascii="Georgia" w:hAnsi="Georgia"/>
                <w:sz w:val="24"/>
              </w:rPr>
            </w:pPr>
            <w:r w:rsidRPr="00D76CEF">
              <w:rPr>
                <w:rFonts w:ascii="Georgia" w:hAnsi="Georgia"/>
                <w:sz w:val="24"/>
              </w:rPr>
              <w:t>Median Flow</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19.</w:t>
            </w:r>
            <w:r w:rsidR="005742E6" w:rsidRPr="00D76CEF">
              <w:rPr>
                <w:rFonts w:cs="Arial"/>
                <w:szCs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49.5</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49</w:t>
            </w:r>
          </w:p>
        </w:tc>
      </w:tr>
      <w:tr w:rsidR="000C47D4" w:rsidRPr="00D76CEF">
        <w:trPr>
          <w:trHeight w:val="439"/>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0C47D4" w:rsidRPr="00D76CEF" w:rsidRDefault="000C47D4">
            <w:pPr>
              <w:ind w:left="360"/>
              <w:rPr>
                <w:rFonts w:cs="Arial"/>
                <w:b/>
                <w:bCs/>
                <w:szCs w:val="20"/>
              </w:rPr>
            </w:pPr>
            <w:r w:rsidRPr="00D76CEF">
              <w:rPr>
                <w:rFonts w:cs="Arial"/>
                <w:b/>
                <w:bCs/>
                <w:szCs w:val="20"/>
              </w:rPr>
              <w:t>Lowest Flow</w:t>
            </w:r>
            <w:r w:rsidRPr="00D76CEF">
              <w:rPr>
                <w:rFonts w:cs="Arial"/>
                <w:szCs w:val="20"/>
              </w:rPr>
              <w:t xml:space="preserve"> (year)</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 xml:space="preserve">8.4 </w:t>
            </w:r>
            <w:r w:rsidRPr="00D76CEF">
              <w:rPr>
                <w:rFonts w:cs="Arial"/>
                <w:szCs w:val="18"/>
              </w:rPr>
              <w:t>(1980)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8.8</w:t>
            </w:r>
            <w:r w:rsidRPr="00D76CEF">
              <w:rPr>
                <w:rFonts w:cs="Arial"/>
                <w:szCs w:val="18"/>
              </w:rPr>
              <w:t xml:space="preserve"> (1996)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 xml:space="preserve">23.5 </w:t>
            </w:r>
            <w:r w:rsidRPr="00D76CEF">
              <w:rPr>
                <w:rFonts w:cs="Arial"/>
                <w:szCs w:val="18"/>
              </w:rPr>
              <w:t>(1980)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 xml:space="preserve">24 </w:t>
            </w:r>
            <w:r w:rsidRPr="00D76CEF">
              <w:rPr>
                <w:rFonts w:cs="Arial"/>
                <w:szCs w:val="18"/>
              </w:rPr>
              <w:t>(1968)</w:t>
            </w:r>
          </w:p>
        </w:tc>
      </w:tr>
    </w:tbl>
    <w:p w:rsidR="000C47D4" w:rsidRPr="00D76CEF" w:rsidRDefault="000C47D4">
      <w:pPr>
        <w:rPr>
          <w:vertAlign w:val="superscript"/>
        </w:rPr>
      </w:pPr>
    </w:p>
    <w:p w:rsidR="000C47D4" w:rsidRPr="00D76CEF" w:rsidRDefault="000C47D4">
      <w:pPr>
        <w:ind w:left="360"/>
        <w:rPr>
          <w:vertAlign w:val="superscript"/>
        </w:rPr>
      </w:pPr>
      <w:r w:rsidRPr="00D76CEF">
        <w:rPr>
          <w:vertAlign w:val="superscript"/>
        </w:rPr>
        <w:t>a. The flow of the South Llano is measured above the confluence with Big Paint Creek and is the sum of both, Seven Hundred and Tanner springs, plus any additional flows from upstream springs.</w:t>
      </w:r>
    </w:p>
    <w:p w:rsidR="000C47D4" w:rsidRPr="00D76CEF" w:rsidRDefault="000C47D4">
      <w:pPr>
        <w:ind w:left="360"/>
        <w:rPr>
          <w:vertAlign w:val="superscript"/>
        </w:rPr>
      </w:pPr>
      <w:r w:rsidRPr="00D76CEF">
        <w:rPr>
          <w:vertAlign w:val="superscript"/>
        </w:rPr>
        <w:t>b. The Percentage of Llano is the flow of the South Llano divided by the flow of the Llano River at Junction minus the flow of the North Llano River.</w:t>
      </w:r>
    </w:p>
    <w:p w:rsidR="000C47D4" w:rsidRPr="00D76CEF" w:rsidRDefault="000C47D4">
      <w:pPr>
        <w:rPr>
          <w:vertAlign w:val="superscript"/>
        </w:rPr>
      </w:pPr>
    </w:p>
    <w:p w:rsidR="000C47D4" w:rsidRPr="00D76CEF" w:rsidRDefault="000C47D4">
      <w:r w:rsidRPr="00D76CEF">
        <w:t xml:space="preserve">The other major contribution to flow in the South Llano River is from Big Paint Springs. Only three measurements have been made at these springs; </w:t>
      </w:r>
      <w:r w:rsidRPr="00D76CEF">
        <w:rPr>
          <w:rStyle w:val="EndnoteReference"/>
        </w:rPr>
        <w:endnoteReference w:id="20"/>
      </w:r>
      <w:r w:rsidRPr="00D76CEF">
        <w:t xml:space="preserve"> they are presented in Table</w:t>
      </w:r>
      <w:r w:rsidR="000C4884" w:rsidRPr="00D76CEF">
        <w:t xml:space="preserve"> 3</w:t>
      </w:r>
      <w:r w:rsidRPr="00D76CEF">
        <w:t xml:space="preserve">.  The corresponding measurements for Seven Hundred and Tanner Springs and the North Llano River are also included. </w:t>
      </w:r>
      <w:r w:rsidRPr="00D76CEF">
        <w:rPr>
          <w:rStyle w:val="EndnoteReference"/>
        </w:rPr>
        <w:endnoteReference w:id="21"/>
      </w:r>
      <w:r w:rsidRPr="00D76CEF">
        <w:t xml:space="preserve"> At the time measurements were taken at Big Paint Springs, the flow from these springs accounted for between 35 and 70 percent of the flow in the Llano River at Junction, not accounting for any water withdrawals between the springs and the Junction gauge, or water withdrawals below the North Llano River gauge. Big Paint Springs generally had between 42 and 63% more flow than Seven Hundred Springs.</w:t>
      </w:r>
    </w:p>
    <w:p w:rsidR="000C47D4" w:rsidRPr="00D76CEF" w:rsidRDefault="000C47D4"/>
    <w:p w:rsidR="000C47D4" w:rsidRPr="00D76CEF" w:rsidRDefault="000C4884">
      <w:pPr>
        <w:pStyle w:val="Header"/>
        <w:ind w:right="-180"/>
      </w:pPr>
      <w:r w:rsidRPr="00D76CEF">
        <w:rPr>
          <w:b/>
          <w:bCs/>
        </w:rPr>
        <w:t>Table 3</w:t>
      </w:r>
      <w:r w:rsidR="000C47D4" w:rsidRPr="00D76CEF">
        <w:rPr>
          <w:b/>
          <w:bCs/>
        </w:rPr>
        <w:t>. Comparison of Discharge for Big Paint Springs to Seven Hundred and Tanner Springs and the North Llano and Llano Rivers in cubic feet per second</w:t>
      </w:r>
      <w:r w:rsidR="000C47D4" w:rsidRPr="00D76CEF">
        <w:t xml:space="preserve"> </w:t>
      </w:r>
      <w:r w:rsidR="000C47D4" w:rsidRPr="00D76CEF">
        <w:rPr>
          <w:rStyle w:val="EndnoteReference"/>
          <w:b/>
          <w:bCs/>
        </w:rPr>
        <w:endnoteReference w:id="22"/>
      </w:r>
    </w:p>
    <w:p w:rsidR="000C47D4" w:rsidRPr="00D76CEF" w:rsidRDefault="000C47D4"/>
    <w:tbl>
      <w:tblPr>
        <w:tblW w:w="6660" w:type="dxa"/>
        <w:tblInd w:w="982" w:type="dxa"/>
        <w:tblCellMar>
          <w:left w:w="0" w:type="dxa"/>
          <w:right w:w="0" w:type="dxa"/>
        </w:tblCellMar>
        <w:tblLook w:val="0000"/>
      </w:tblPr>
      <w:tblGrid>
        <w:gridCol w:w="2844"/>
        <w:gridCol w:w="1293"/>
        <w:gridCol w:w="1247"/>
        <w:gridCol w:w="1276"/>
      </w:tblGrid>
      <w:tr w:rsidR="000C47D4" w:rsidRPr="00D76CEF">
        <w:trPr>
          <w:trHeight w:val="450"/>
        </w:trPr>
        <w:tc>
          <w:tcPr>
            <w:tcW w:w="25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p>
        </w:tc>
        <w:tc>
          <w:tcPr>
            <w:tcW w:w="13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
                <w:bCs/>
                <w:szCs w:val="20"/>
              </w:rPr>
            </w:pPr>
            <w:r w:rsidRPr="00D76CEF">
              <w:rPr>
                <w:rFonts w:cs="Arial"/>
                <w:b/>
                <w:bCs/>
                <w:szCs w:val="20"/>
              </w:rPr>
              <w:t>March 1939</w:t>
            </w:r>
          </w:p>
        </w:tc>
        <w:tc>
          <w:tcPr>
            <w:tcW w:w="1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
                <w:bCs/>
                <w:szCs w:val="20"/>
              </w:rPr>
            </w:pPr>
            <w:r w:rsidRPr="00D76CEF">
              <w:rPr>
                <w:rFonts w:cs="Arial"/>
                <w:b/>
                <w:bCs/>
                <w:szCs w:val="20"/>
              </w:rPr>
              <w:t>Sept. 1955</w:t>
            </w:r>
          </w:p>
        </w:tc>
        <w:tc>
          <w:tcPr>
            <w:tcW w:w="1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
                <w:bCs/>
                <w:szCs w:val="20"/>
              </w:rPr>
            </w:pPr>
            <w:r w:rsidRPr="00D76CEF">
              <w:rPr>
                <w:rFonts w:cs="Arial"/>
                <w:b/>
                <w:bCs/>
                <w:szCs w:val="20"/>
              </w:rPr>
              <w:t>March 1962</w:t>
            </w:r>
          </w:p>
        </w:tc>
      </w:tr>
      <w:tr w:rsidR="000C47D4" w:rsidRPr="00D76CEF">
        <w:trPr>
          <w:trHeight w:val="36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
                <w:bCs/>
                <w:szCs w:val="20"/>
              </w:rPr>
            </w:pPr>
            <w:r w:rsidRPr="00D76CEF">
              <w:rPr>
                <w:rFonts w:cs="Arial"/>
                <w:b/>
                <w:bCs/>
                <w:szCs w:val="20"/>
              </w:rPr>
              <w:t>Big Paint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31</w:t>
            </w:r>
          </w:p>
        </w:tc>
      </w:tr>
      <w:tr w:rsidR="000C47D4" w:rsidRPr="00D76CEF">
        <w:trPr>
          <w:trHeight w:val="36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
                <w:bCs/>
                <w:szCs w:val="20"/>
              </w:rPr>
            </w:pPr>
            <w:r w:rsidRPr="00D76CEF">
              <w:rPr>
                <w:rFonts w:cs="Arial"/>
                <w:b/>
                <w:bCs/>
                <w:szCs w:val="20"/>
              </w:rPr>
              <w:t>Seven Hundred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22</w:t>
            </w:r>
          </w:p>
        </w:tc>
      </w:tr>
      <w:tr w:rsidR="000C47D4" w:rsidRPr="00D76CEF">
        <w:trPr>
          <w:trHeight w:val="36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
                <w:bCs/>
                <w:szCs w:val="20"/>
              </w:rPr>
            </w:pPr>
            <w:r w:rsidRPr="00D76CEF">
              <w:rPr>
                <w:rFonts w:cs="Arial"/>
                <w:b/>
                <w:bCs/>
                <w:szCs w:val="20"/>
              </w:rPr>
              <w:t>Tanner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p>
        </w:tc>
      </w:tr>
      <w:tr w:rsidR="000C47D4" w:rsidRPr="00D76CEF">
        <w:trPr>
          <w:trHeight w:val="36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
                <w:bCs/>
                <w:szCs w:val="20"/>
              </w:rPr>
            </w:pPr>
            <w:r w:rsidRPr="00D76CEF">
              <w:rPr>
                <w:rFonts w:cs="Arial"/>
                <w:b/>
                <w:bCs/>
                <w:szCs w:val="20"/>
              </w:rPr>
              <w:t>North Llano River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23</w:t>
            </w:r>
          </w:p>
        </w:tc>
      </w:tr>
      <w:tr w:rsidR="000C47D4" w:rsidRPr="00D76CEF">
        <w:trPr>
          <w:trHeight w:val="36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bCs/>
                <w:szCs w:val="20"/>
                <w:vertAlign w:val="superscript"/>
              </w:rPr>
            </w:pPr>
            <w:r w:rsidRPr="00D76CEF">
              <w:rPr>
                <w:rFonts w:cs="Arial"/>
                <w:b/>
                <w:bCs/>
                <w:szCs w:val="20"/>
              </w:rPr>
              <w:t xml:space="preserve">Llano River at Junction </w:t>
            </w:r>
            <w:r w:rsidRPr="00D76CEF">
              <w:rPr>
                <w:rFonts w:cs="Arial"/>
                <w:bCs/>
                <w:szCs w:val="20"/>
                <w:vertAlign w:val="superscript"/>
              </w:rPr>
              <w:t>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64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113</w:t>
            </w:r>
          </w:p>
        </w:tc>
      </w:tr>
      <w:tr w:rsidR="000C47D4" w:rsidRPr="00D76CEF">
        <w:trPr>
          <w:trHeight w:val="720"/>
        </w:trPr>
        <w:tc>
          <w:tcPr>
            <w:tcW w:w="25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47D4" w:rsidRPr="00D76CEF" w:rsidRDefault="000C47D4">
            <w:pPr>
              <w:jc w:val="center"/>
              <w:rPr>
                <w:rFonts w:cs="Arial"/>
                <w:b/>
                <w:bCs/>
                <w:szCs w:val="20"/>
              </w:rPr>
            </w:pPr>
            <w:r w:rsidRPr="00D76CEF">
              <w:rPr>
                <w:rFonts w:cs="Arial"/>
                <w:b/>
                <w:bCs/>
                <w:szCs w:val="20"/>
              </w:rPr>
              <w:t>Big Paint Contribution to Llano River @ Junction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71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jc w:val="center"/>
              <w:rPr>
                <w:rFonts w:cs="Arial"/>
                <w:szCs w:val="20"/>
              </w:rPr>
            </w:pPr>
            <w:r w:rsidRPr="00D76CEF">
              <w:rPr>
                <w:rFonts w:cs="Arial"/>
                <w:szCs w:val="20"/>
              </w:rPr>
              <w:t>34</w:t>
            </w:r>
          </w:p>
        </w:tc>
      </w:tr>
    </w:tbl>
    <w:p w:rsidR="000C47D4" w:rsidRPr="00D76CEF" w:rsidRDefault="000C47D4">
      <w:pPr>
        <w:ind w:left="720"/>
        <w:jc w:val="center"/>
      </w:pPr>
      <w:r w:rsidRPr="00D76CEF">
        <w:t>a. This measurement does not account for any water withdrawals upstream of the gauge.</w:t>
      </w:r>
    </w:p>
    <w:p w:rsidR="000C47D4" w:rsidRPr="00D76CEF" w:rsidRDefault="000C47D4">
      <w:pPr>
        <w:pStyle w:val="NormalWeb"/>
        <w:spacing w:before="0" w:beforeAutospacing="0" w:after="0" w:afterAutospacing="0"/>
        <w:jc w:val="center"/>
      </w:pPr>
    </w:p>
    <w:p w:rsidR="000C47D4" w:rsidRPr="00D76CEF" w:rsidRDefault="000C47D4">
      <w:r w:rsidRPr="00D76CEF">
        <w:t xml:space="preserve">In 1918, and again in 1925, a gain-loss study was done on the South Llano River to understand the contributions of various tributaries to the river. </w:t>
      </w:r>
      <w:r w:rsidRPr="00D76CEF">
        <w:rPr>
          <w:rStyle w:val="EndnoteReference"/>
        </w:rPr>
        <w:endnoteReference w:id="23"/>
      </w:r>
      <w:r w:rsidRPr="00D76CEF">
        <w:t xml:space="preserve"> Table 3 shows these contributions to the river. The 1918 study showed that 62% of the flow in the South Llano came from Big Paint Creek; the 1925 study showed that the contribution from Big Paint was 50%. It should be noted that from below the confluence of Big Paint Creek and the South Llano River to the confluence with the North Llano River, the South Llano River gained an additional 2.3 </w:t>
      </w:r>
      <w:proofErr w:type="spellStart"/>
      <w:r w:rsidRPr="00D76CEF">
        <w:t>cfs</w:t>
      </w:r>
      <w:proofErr w:type="spellEnd"/>
      <w:r w:rsidRPr="00D76CEF">
        <w:t xml:space="preserve"> in 1918 and an additional 3.5 </w:t>
      </w:r>
      <w:proofErr w:type="spellStart"/>
      <w:r w:rsidRPr="00D76CEF">
        <w:t>cfs</w:t>
      </w:r>
      <w:proofErr w:type="spellEnd"/>
      <w:r w:rsidRPr="00D76CEF">
        <w:t xml:space="preserve"> in 1925. It is presumed that these additional flows came from other springs discharging to the river.</w:t>
      </w:r>
      <w:r w:rsidR="00D54CB2" w:rsidRPr="00D76CEF">
        <w:t xml:space="preserve"> </w:t>
      </w:r>
    </w:p>
    <w:p w:rsidR="00A85A5B" w:rsidRDefault="00A85A5B" w:rsidP="00A85A5B"/>
    <w:p w:rsidR="00A85A5B" w:rsidRPr="00D76CEF" w:rsidRDefault="00A85A5B" w:rsidP="00A85A5B">
      <w:r w:rsidRPr="00D76CEF">
        <w:t>Although of less magnitude than Tanner, Seven Hundred, and Big Paint, several other springs contribute to the flow of the South Llano and its tributaries. Two springs near the South Llano River include Christmas Canyon Spring and Junior Canyon</w:t>
      </w:r>
      <w:r w:rsidR="00D44B77">
        <w:t xml:space="preserve"> Spring that respectively had a</w:t>
      </w:r>
      <w:r w:rsidRPr="00D76CEF">
        <w:t xml:space="preserve"> reported flow of 5,000 gallons per minute (11 </w:t>
      </w:r>
      <w:proofErr w:type="spellStart"/>
      <w:r w:rsidRPr="00D76CEF">
        <w:t>cfs</w:t>
      </w:r>
      <w:proofErr w:type="spellEnd"/>
      <w:r w:rsidRPr="00D76CEF">
        <w:t xml:space="preserve">) and 2,000 </w:t>
      </w:r>
      <w:proofErr w:type="spellStart"/>
      <w:r w:rsidRPr="00D76CEF">
        <w:t>gpm</w:t>
      </w:r>
      <w:proofErr w:type="spellEnd"/>
      <w:r w:rsidRPr="00D76CEF">
        <w:t xml:space="preserve"> (4 </w:t>
      </w:r>
      <w:proofErr w:type="spellStart"/>
      <w:r w:rsidRPr="00D76CEF">
        <w:t>cfs</w:t>
      </w:r>
      <w:proofErr w:type="spellEnd"/>
      <w:r w:rsidRPr="00D76CEF">
        <w:t xml:space="preserve">) in 1966. Coleman Springs reportedly flowed at 750 </w:t>
      </w:r>
      <w:proofErr w:type="spellStart"/>
      <w:r w:rsidRPr="00D76CEF">
        <w:t>gpm</w:t>
      </w:r>
      <w:proofErr w:type="spellEnd"/>
      <w:r w:rsidRPr="00D76CEF">
        <w:t xml:space="preserve"> (1.7 </w:t>
      </w:r>
      <w:proofErr w:type="spellStart"/>
      <w:r w:rsidRPr="00D76CEF">
        <w:t>cfs</w:t>
      </w:r>
      <w:proofErr w:type="spellEnd"/>
      <w:r w:rsidRPr="00D76CEF">
        <w:t xml:space="preserve">) into </w:t>
      </w:r>
      <w:proofErr w:type="spellStart"/>
      <w:r w:rsidRPr="00D76CEF">
        <w:t>Cajac</w:t>
      </w:r>
      <w:proofErr w:type="spellEnd"/>
      <w:r w:rsidRPr="00D76CEF">
        <w:t xml:space="preserve"> (pronounced kayak) Creek during 1966; discharge of about 1 </w:t>
      </w:r>
      <w:proofErr w:type="spellStart"/>
      <w:r w:rsidRPr="00D76CEF">
        <w:t>cfs</w:t>
      </w:r>
      <w:proofErr w:type="spellEnd"/>
      <w:r w:rsidRPr="00D76CEF">
        <w:t xml:space="preserve"> was measured on </w:t>
      </w:r>
      <w:proofErr w:type="spellStart"/>
      <w:r w:rsidRPr="00D76CEF">
        <w:t>Cajac</w:t>
      </w:r>
      <w:proofErr w:type="spellEnd"/>
      <w:r w:rsidRPr="00D76CEF">
        <w:t xml:space="preserve"> Creek by the author in </w:t>
      </w:r>
      <w:proofErr w:type="gramStart"/>
      <w:r w:rsidRPr="00D76CEF">
        <w:t>May,</w:t>
      </w:r>
      <w:proofErr w:type="gramEnd"/>
      <w:r w:rsidRPr="00D76CEF">
        <w:t xml:space="preserve"> 2011. Cedar Creek Spring on Cedar Creek reportedly flowed at 200 </w:t>
      </w:r>
      <w:proofErr w:type="spellStart"/>
      <w:r w:rsidRPr="00D76CEF">
        <w:t>gpm</w:t>
      </w:r>
      <w:proofErr w:type="spellEnd"/>
      <w:r w:rsidR="00306ABC">
        <w:t xml:space="preserve"> (0.4 </w:t>
      </w:r>
      <w:proofErr w:type="spellStart"/>
      <w:r w:rsidR="00306ABC">
        <w:t>cfs</w:t>
      </w:r>
      <w:proofErr w:type="spellEnd"/>
      <w:r w:rsidR="00306ABC">
        <w:t>) in 1966; the author</w:t>
      </w:r>
      <w:r w:rsidRPr="00D76CEF">
        <w:t xml:space="preserve"> measured 2 </w:t>
      </w:r>
      <w:proofErr w:type="spellStart"/>
      <w:r w:rsidRPr="00D76CEF">
        <w:t>cfs</w:t>
      </w:r>
      <w:proofErr w:type="spellEnd"/>
      <w:r w:rsidRPr="00D76CEF">
        <w:t xml:space="preserve"> on Cedar Creek in May of 2011.</w:t>
      </w:r>
    </w:p>
    <w:p w:rsidR="00A85A5B" w:rsidRDefault="00A85A5B" w:rsidP="00A85A5B">
      <w:pPr>
        <w:pStyle w:val="NormalIndent"/>
        <w:rPr>
          <w:b/>
          <w:bCs/>
        </w:rPr>
      </w:pPr>
    </w:p>
    <w:p w:rsidR="00A85A5B" w:rsidRDefault="00A85A5B" w:rsidP="00A85A5B">
      <w:pPr>
        <w:pStyle w:val="NormalIndent"/>
      </w:pPr>
    </w:p>
    <w:p w:rsidR="00A85A5B" w:rsidRDefault="00A85A5B" w:rsidP="00A85A5B">
      <w:pPr>
        <w:pStyle w:val="NormalIndent"/>
      </w:pPr>
    </w:p>
    <w:p w:rsidR="000C47D4" w:rsidRPr="00A85A5B" w:rsidRDefault="000C47D4" w:rsidP="00A85A5B">
      <w:pPr>
        <w:pStyle w:val="NormalIndent"/>
      </w:pPr>
    </w:p>
    <w:p w:rsidR="000C47D4" w:rsidRPr="00D76CEF" w:rsidRDefault="00A85A5B">
      <w:pPr>
        <w:pStyle w:val="BodyText2"/>
        <w:ind w:left="720" w:right="540"/>
      </w:pPr>
      <w:r>
        <w:t>Table 4</w:t>
      </w:r>
      <w:r w:rsidR="000C47D4" w:rsidRPr="00D76CEF">
        <w:t>. Measurements in cubic feet per second from Gain-Loss Studies on South Llano River</w:t>
      </w:r>
    </w:p>
    <w:p w:rsidR="000C47D4" w:rsidRPr="00D76CEF" w:rsidRDefault="000C47D4">
      <w:pPr>
        <w:pStyle w:val="BodyText2"/>
        <w:ind w:left="720" w:right="540"/>
      </w:pPr>
    </w:p>
    <w:tbl>
      <w:tblPr>
        <w:tblW w:w="7738" w:type="dxa"/>
        <w:jc w:val="center"/>
        <w:tblInd w:w="-1084" w:type="dxa"/>
        <w:tblCellMar>
          <w:left w:w="0" w:type="dxa"/>
          <w:right w:w="0" w:type="dxa"/>
        </w:tblCellMar>
        <w:tblLook w:val="0000"/>
      </w:tblPr>
      <w:tblGrid>
        <w:gridCol w:w="3173"/>
        <w:gridCol w:w="2131"/>
        <w:gridCol w:w="2434"/>
      </w:tblGrid>
      <w:tr w:rsidR="000C47D4" w:rsidRPr="00D76CEF">
        <w:trPr>
          <w:trHeight w:val="387"/>
          <w:jc w:val="center"/>
        </w:trPr>
        <w:tc>
          <w:tcPr>
            <w:tcW w:w="3173"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0C47D4" w:rsidRPr="00D76CEF" w:rsidRDefault="000C47D4">
            <w:pPr>
              <w:ind w:left="720" w:right="540"/>
              <w:jc w:val="center"/>
              <w:rPr>
                <w:rFonts w:cs="Arial"/>
                <w:szCs w:val="20"/>
              </w:rPr>
            </w:pPr>
          </w:p>
        </w:tc>
        <w:tc>
          <w:tcPr>
            <w:tcW w:w="213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0C47D4" w:rsidRPr="00D76CEF" w:rsidRDefault="000C47D4">
            <w:pPr>
              <w:ind w:left="720" w:right="540"/>
              <w:jc w:val="center"/>
              <w:rPr>
                <w:rFonts w:cs="Arial"/>
                <w:b/>
                <w:bCs/>
                <w:szCs w:val="20"/>
              </w:rPr>
            </w:pPr>
            <w:r w:rsidRPr="00D76CEF">
              <w:rPr>
                <w:rFonts w:cs="Arial"/>
                <w:b/>
                <w:bCs/>
                <w:szCs w:val="20"/>
              </w:rPr>
              <w:t>April 1918</w:t>
            </w:r>
          </w:p>
        </w:tc>
        <w:tc>
          <w:tcPr>
            <w:tcW w:w="2434"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0C47D4" w:rsidRPr="00D76CEF" w:rsidRDefault="000C47D4">
            <w:pPr>
              <w:ind w:left="720" w:right="540"/>
              <w:jc w:val="center"/>
              <w:rPr>
                <w:rFonts w:cs="Arial"/>
                <w:b/>
                <w:bCs/>
                <w:szCs w:val="20"/>
              </w:rPr>
            </w:pPr>
            <w:r w:rsidRPr="00D76CEF">
              <w:rPr>
                <w:rFonts w:cs="Arial"/>
                <w:b/>
                <w:bCs/>
                <w:szCs w:val="20"/>
              </w:rPr>
              <w:t>February 1925</w:t>
            </w:r>
          </w:p>
        </w:tc>
      </w:tr>
      <w:tr w:rsidR="000C47D4" w:rsidRPr="00D76CEF">
        <w:trPr>
          <w:trHeight w:val="476"/>
          <w:jc w:val="center"/>
        </w:trPr>
        <w:tc>
          <w:tcPr>
            <w:tcW w:w="317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0C47D4" w:rsidRPr="00D76CEF" w:rsidRDefault="000C47D4">
            <w:pPr>
              <w:ind w:left="720" w:right="540"/>
              <w:jc w:val="center"/>
              <w:rPr>
                <w:rFonts w:cs="Arial"/>
                <w:b/>
                <w:bCs/>
                <w:szCs w:val="20"/>
              </w:rPr>
            </w:pPr>
            <w:r w:rsidRPr="00D76CEF">
              <w:rPr>
                <w:rFonts w:cs="Arial"/>
                <w:b/>
                <w:bCs/>
                <w:szCs w:val="20"/>
              </w:rPr>
              <w:t>Big Paint Creek</w:t>
            </w:r>
          </w:p>
        </w:tc>
        <w:tc>
          <w:tcPr>
            <w:tcW w:w="21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ind w:left="720" w:right="540"/>
              <w:jc w:val="center"/>
              <w:rPr>
                <w:rFonts w:cs="Arial"/>
                <w:szCs w:val="20"/>
              </w:rPr>
            </w:pPr>
            <w:r w:rsidRPr="00D76CEF">
              <w:rPr>
                <w:rFonts w:cs="Arial"/>
                <w:szCs w:val="20"/>
              </w:rPr>
              <w:t>23.1</w:t>
            </w:r>
          </w:p>
        </w:tc>
        <w:tc>
          <w:tcPr>
            <w:tcW w:w="24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ind w:left="720" w:right="540"/>
              <w:jc w:val="center"/>
              <w:rPr>
                <w:rFonts w:cs="Arial"/>
                <w:szCs w:val="20"/>
              </w:rPr>
            </w:pPr>
            <w:r w:rsidRPr="00D76CEF">
              <w:rPr>
                <w:rFonts w:cs="Arial"/>
                <w:szCs w:val="20"/>
              </w:rPr>
              <w:t>36.5</w:t>
            </w:r>
          </w:p>
        </w:tc>
      </w:tr>
      <w:tr w:rsidR="000C47D4" w:rsidRPr="00D76CEF">
        <w:trPr>
          <w:trHeight w:val="744"/>
          <w:jc w:val="center"/>
        </w:trPr>
        <w:tc>
          <w:tcPr>
            <w:tcW w:w="3173" w:type="dxa"/>
            <w:tcBorders>
              <w:top w:val="nil"/>
              <w:left w:val="single" w:sz="4" w:space="0" w:color="auto"/>
              <w:bottom w:val="single" w:sz="4" w:space="0" w:color="auto"/>
              <w:right w:val="nil"/>
            </w:tcBorders>
            <w:tcMar>
              <w:top w:w="15" w:type="dxa"/>
              <w:left w:w="15" w:type="dxa"/>
              <w:bottom w:w="0" w:type="dxa"/>
              <w:right w:w="15" w:type="dxa"/>
            </w:tcMar>
            <w:vAlign w:val="center"/>
          </w:tcPr>
          <w:p w:rsidR="000C47D4" w:rsidRPr="00D76CEF" w:rsidRDefault="000C47D4">
            <w:pPr>
              <w:ind w:left="720" w:right="540"/>
              <w:jc w:val="center"/>
              <w:rPr>
                <w:rFonts w:cs="Arial"/>
                <w:b/>
                <w:bCs/>
                <w:szCs w:val="20"/>
              </w:rPr>
            </w:pPr>
            <w:r w:rsidRPr="00D76CEF">
              <w:rPr>
                <w:rFonts w:cs="Arial"/>
                <w:b/>
                <w:bCs/>
                <w:szCs w:val="20"/>
              </w:rPr>
              <w:t>South Llano above Big Paint Creek</w:t>
            </w:r>
          </w:p>
        </w:tc>
        <w:tc>
          <w:tcPr>
            <w:tcW w:w="213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ind w:left="720" w:right="540"/>
              <w:jc w:val="center"/>
              <w:rPr>
                <w:rFonts w:cs="Arial"/>
                <w:szCs w:val="20"/>
              </w:rPr>
            </w:pPr>
            <w:r w:rsidRPr="00D76CEF">
              <w:rPr>
                <w:rFonts w:cs="Arial"/>
                <w:szCs w:val="20"/>
              </w:rPr>
              <w:t>11.7</w:t>
            </w:r>
          </w:p>
        </w:tc>
        <w:tc>
          <w:tcPr>
            <w:tcW w:w="24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ind w:left="720" w:right="540"/>
              <w:jc w:val="center"/>
              <w:rPr>
                <w:rFonts w:cs="Arial"/>
                <w:szCs w:val="20"/>
              </w:rPr>
            </w:pPr>
            <w:r w:rsidRPr="00D76CEF">
              <w:rPr>
                <w:rFonts w:cs="Arial"/>
                <w:szCs w:val="20"/>
              </w:rPr>
              <w:t>32.6</w:t>
            </w:r>
          </w:p>
        </w:tc>
      </w:tr>
      <w:tr w:rsidR="000C47D4" w:rsidRPr="00D76CEF">
        <w:trPr>
          <w:trHeight w:val="741"/>
          <w:jc w:val="center"/>
        </w:trPr>
        <w:tc>
          <w:tcPr>
            <w:tcW w:w="3173" w:type="dxa"/>
            <w:tcBorders>
              <w:top w:val="nil"/>
              <w:left w:val="single" w:sz="4" w:space="0" w:color="auto"/>
              <w:bottom w:val="single" w:sz="4" w:space="0" w:color="auto"/>
              <w:right w:val="nil"/>
            </w:tcBorders>
            <w:tcMar>
              <w:top w:w="15" w:type="dxa"/>
              <w:left w:w="15" w:type="dxa"/>
              <w:bottom w:w="0" w:type="dxa"/>
              <w:right w:w="15" w:type="dxa"/>
            </w:tcMar>
            <w:vAlign w:val="center"/>
          </w:tcPr>
          <w:p w:rsidR="000C47D4" w:rsidRPr="00D76CEF" w:rsidRDefault="000C47D4">
            <w:pPr>
              <w:ind w:left="720" w:right="540"/>
              <w:jc w:val="center"/>
              <w:rPr>
                <w:rFonts w:cs="Arial"/>
                <w:b/>
                <w:bCs/>
                <w:szCs w:val="20"/>
              </w:rPr>
            </w:pPr>
            <w:r w:rsidRPr="00D76CEF">
              <w:rPr>
                <w:rFonts w:cs="Arial"/>
                <w:b/>
                <w:bCs/>
                <w:szCs w:val="20"/>
              </w:rPr>
              <w:t>South Llano above North Llano River</w:t>
            </w:r>
          </w:p>
        </w:tc>
        <w:tc>
          <w:tcPr>
            <w:tcW w:w="213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ind w:left="720" w:right="540"/>
              <w:jc w:val="center"/>
              <w:rPr>
                <w:rFonts w:cs="Arial"/>
                <w:szCs w:val="20"/>
              </w:rPr>
            </w:pPr>
            <w:r w:rsidRPr="00D76CEF">
              <w:rPr>
                <w:rFonts w:cs="Arial"/>
                <w:szCs w:val="20"/>
              </w:rPr>
              <w:t>37.1</w:t>
            </w:r>
          </w:p>
        </w:tc>
        <w:tc>
          <w:tcPr>
            <w:tcW w:w="24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C47D4" w:rsidRPr="00D76CEF" w:rsidRDefault="000C47D4">
            <w:pPr>
              <w:ind w:left="720" w:right="540"/>
              <w:jc w:val="center"/>
              <w:rPr>
                <w:rFonts w:cs="Arial"/>
                <w:szCs w:val="20"/>
              </w:rPr>
            </w:pPr>
            <w:r w:rsidRPr="00D76CEF">
              <w:rPr>
                <w:rFonts w:cs="Arial"/>
                <w:szCs w:val="20"/>
              </w:rPr>
              <w:t>72.6</w:t>
            </w:r>
          </w:p>
        </w:tc>
      </w:tr>
    </w:tbl>
    <w:p w:rsidR="000C47D4" w:rsidRPr="001F19A4" w:rsidRDefault="000C47D4">
      <w:pPr>
        <w:pStyle w:val="BodyText3"/>
        <w:ind w:left="540"/>
      </w:pPr>
      <w:r w:rsidRPr="001F19A4">
        <w:t>a. The flow presented for the South Llano River is the flow of the River above the confluence with the North Llano, plus the addition of upstream water withdrawals.</w:t>
      </w:r>
    </w:p>
    <w:p w:rsidR="000C47D4" w:rsidRPr="00D76CEF" w:rsidRDefault="000C47D4"/>
    <w:p w:rsidR="000C47D4" w:rsidRPr="00D76CEF" w:rsidRDefault="000C47D4">
      <w:r w:rsidRPr="00D76CEF">
        <w:t xml:space="preserve">These various measurements and gain-loss studies demonstrate, but do not specifically quantify, the contribution that spring flow makes to the flow of the South Llano River. However, a 1989 US Geological Survey </w:t>
      </w:r>
      <w:r w:rsidRPr="00D76CEF">
        <w:rPr>
          <w:rStyle w:val="EndnoteReference"/>
        </w:rPr>
        <w:endnoteReference w:id="24"/>
      </w:r>
      <w:r w:rsidRPr="00D76CEF">
        <w:t xml:space="preserve"> study estimates that </w:t>
      </w:r>
      <w:proofErr w:type="spellStart"/>
      <w:r w:rsidRPr="00D76CEF">
        <w:t>baseflow</w:t>
      </w:r>
      <w:proofErr w:type="spellEnd"/>
      <w:r w:rsidRPr="00D76CEF">
        <w:t xml:space="preserve"> (that part of </w:t>
      </w:r>
      <w:proofErr w:type="spellStart"/>
      <w:r w:rsidRPr="00D76CEF">
        <w:t>streamflow</w:t>
      </w:r>
      <w:proofErr w:type="spellEnd"/>
      <w:r w:rsidRPr="00D76CEF">
        <w:t xml:space="preserve"> that is not direct surface runoff) accounted for approximately 81% of all flow passing the Llano River gauge at Junction between 1974 and 1977. While the North Llano River does contribute some </w:t>
      </w:r>
      <w:proofErr w:type="spellStart"/>
      <w:r w:rsidRPr="00D76CEF">
        <w:t>baseflow</w:t>
      </w:r>
      <w:proofErr w:type="spellEnd"/>
      <w:r w:rsidRPr="00D76CEF">
        <w:t xml:space="preserve"> to the gauge, the majority of the flow comes from the South Llano River.</w:t>
      </w:r>
    </w:p>
    <w:p w:rsidR="000C47D4" w:rsidRPr="00A85A5B" w:rsidRDefault="000C47D4" w:rsidP="00A85A5B">
      <w:pPr>
        <w:pStyle w:val="NormalIndent"/>
      </w:pPr>
    </w:p>
    <w:p w:rsidR="000C47D4" w:rsidRPr="0045488E" w:rsidRDefault="000C47D4">
      <w:pPr>
        <w:pStyle w:val="Heading2"/>
        <w:rPr>
          <w:b/>
          <w:bCs/>
          <w:i w:val="0"/>
          <w:iCs w:val="0"/>
          <w:u w:val="single"/>
        </w:rPr>
      </w:pPr>
      <w:r w:rsidRPr="0045488E">
        <w:rPr>
          <w:b/>
          <w:bCs/>
          <w:i w:val="0"/>
          <w:iCs w:val="0"/>
          <w:u w:val="single"/>
        </w:rPr>
        <w:t xml:space="preserve">Source of the </w:t>
      </w:r>
      <w:proofErr w:type="gramStart"/>
      <w:r w:rsidRPr="0045488E">
        <w:rPr>
          <w:b/>
          <w:bCs/>
          <w:i w:val="0"/>
          <w:iCs w:val="0"/>
          <w:u w:val="single"/>
        </w:rPr>
        <w:t>Springs</w:t>
      </w:r>
      <w:proofErr w:type="gramEnd"/>
      <w:r w:rsidRPr="0045488E">
        <w:rPr>
          <w:b/>
          <w:bCs/>
          <w:i w:val="0"/>
          <w:iCs w:val="0"/>
          <w:u w:val="single"/>
        </w:rPr>
        <w:t xml:space="preserve"> </w:t>
      </w:r>
    </w:p>
    <w:p w:rsidR="000C47D4" w:rsidRPr="00D76CEF" w:rsidRDefault="000C47D4"/>
    <w:p w:rsidR="00BE3A42" w:rsidRDefault="000C47D4" w:rsidP="00BE3A42">
      <w:r w:rsidRPr="00D76CEF">
        <w:t xml:space="preserve">The Edwards limestone, which makes up the Edwards Plateau, is a </w:t>
      </w:r>
      <w:proofErr w:type="spellStart"/>
      <w:r w:rsidRPr="00D76CEF">
        <w:t>karst</w:t>
      </w:r>
      <w:proofErr w:type="spellEnd"/>
      <w:r w:rsidRPr="00D76CEF">
        <w:t xml:space="preserve"> terrain characterized by the presence of caves, sinkholes and subsurface drainage networks. On average, approximately 22-24 inches of precipitation falls annually within the </w:t>
      </w:r>
      <w:r w:rsidR="00B83C2D">
        <w:t>North and South</w:t>
      </w:r>
      <w:r w:rsidRPr="00D76CEF">
        <w:t xml:space="preserve"> Llano watershed</w:t>
      </w:r>
      <w:r w:rsidR="00B83C2D">
        <w:t>s</w:t>
      </w:r>
      <w:r w:rsidRPr="00D76CEF">
        <w:t xml:space="preserve">. As most of the watershed consists of thin soils atop limestone bedrock, the majority of this precipitation runs off quickly.  However, some of this precipitation finds its way through sinkholes, caves, rock fractures, and root zones to enter the Edwards-Trinity (Plateau) aquifer. </w:t>
      </w:r>
    </w:p>
    <w:p w:rsidR="00450067" w:rsidRPr="00BE3A42" w:rsidRDefault="00450067" w:rsidP="00BE3A42">
      <w:pPr>
        <w:pStyle w:val="NormalIndent"/>
      </w:pPr>
    </w:p>
    <w:p w:rsidR="008911CB" w:rsidRPr="00A85A5B" w:rsidRDefault="008911CB" w:rsidP="008911CB">
      <w:pPr>
        <w:pStyle w:val="EDF-TableFigureTitle"/>
        <w:rPr>
          <w:b w:val="0"/>
        </w:rPr>
      </w:pPr>
      <w:r w:rsidRPr="00A85A5B">
        <w:t xml:space="preserve">Figure 4. </w:t>
      </w:r>
      <w:proofErr w:type="gramStart"/>
      <w:r w:rsidRPr="00A85A5B">
        <w:t>Cross-section of Edwards-Trinity Aquifer.</w:t>
      </w:r>
      <w:proofErr w:type="gramEnd"/>
      <w:r w:rsidRPr="00A85A5B">
        <w:t xml:space="preserve"> </w:t>
      </w:r>
      <w:r w:rsidRPr="00A85A5B">
        <w:rPr>
          <w:b w:val="0"/>
        </w:rPr>
        <w:t xml:space="preserve">(Adapted from </w:t>
      </w:r>
      <w:proofErr w:type="spellStart"/>
      <w:r w:rsidRPr="00A85A5B">
        <w:rPr>
          <w:b w:val="0"/>
        </w:rPr>
        <w:t>Brune</w:t>
      </w:r>
      <w:proofErr w:type="spellEnd"/>
      <w:r w:rsidRPr="00A85A5B">
        <w:rPr>
          <w:b w:val="0"/>
        </w:rPr>
        <w:t xml:space="preserve">) </w:t>
      </w:r>
      <w:r w:rsidRPr="00A85A5B">
        <w:rPr>
          <w:rStyle w:val="EndnoteReference"/>
          <w:b w:val="0"/>
        </w:rPr>
        <w:endnoteReference w:id="25"/>
      </w:r>
    </w:p>
    <w:p w:rsidR="008911CB" w:rsidRPr="00D76CEF" w:rsidRDefault="008911CB"/>
    <w:p w:rsidR="00306ABC" w:rsidRDefault="00306ABC"/>
    <w:p w:rsidR="00306ABC" w:rsidRDefault="00BE3A42">
      <w:r>
        <w:rPr>
          <w:noProof/>
        </w:rPr>
        <w:drawing>
          <wp:inline distT="0" distB="0" distL="0" distR="0">
            <wp:extent cx="5254003" cy="3484880"/>
            <wp:effectExtent l="6093" t="0" r="2784" b="0"/>
            <wp:docPr id="13" name="O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67550" cy="5734050"/>
                      <a:chOff x="1371600" y="533400"/>
                      <a:chExt cx="7067550" cy="5734050"/>
                    </a:xfrm>
                  </a:grpSpPr>
                  <a:pic>
                    <a:nvPicPr>
                      <a:cNvPr id="55298" name="Picture 2" descr="C:\Documents and Settings\Tyson Broad\My Documents\edwards-trinity.blue.JPG"/>
                      <a:cNvPicPr>
                        <a:picLocks noChangeAspect="1" noChangeArrowheads="1"/>
                      </a:cNvPicPr>
                    </a:nvPicPr>
                    <a:blipFill>
                      <a:blip r:embed="rId14"/>
                      <a:srcRect/>
                      <a:stretch>
                        <a:fillRect/>
                      </a:stretch>
                    </a:blipFill>
                    <a:spPr bwMode="auto">
                      <a:xfrm>
                        <a:off x="1371600" y="533400"/>
                        <a:ext cx="7067550" cy="5734050"/>
                      </a:xfrm>
                      <a:prstGeom prst="rect">
                        <a:avLst/>
                      </a:prstGeom>
                      <a:noFill/>
                    </a:spPr>
                  </a:pic>
                  <a:sp>
                    <a:nvSpPr>
                      <a:cNvPr id="55299" name="Rectangle 3"/>
                      <a:cNvSpPr>
                        <a:spLocks noChangeArrowheads="1"/>
                      </a:cNvSpPr>
                    </a:nvSpPr>
                    <a:spPr bwMode="auto">
                      <a:xfrm>
                        <a:off x="5867400" y="2895600"/>
                        <a:ext cx="1143000" cy="457200"/>
                      </a:xfrm>
                      <a:prstGeom prst="rect">
                        <a:avLst/>
                      </a:prstGeom>
                      <a:solidFill>
                        <a:schemeClr val="bg1"/>
                      </a:solidFill>
                      <a:ln w="9525">
                        <a:noFill/>
                        <a:miter lim="800000"/>
                        <a:headEnd/>
                        <a:tailEnd/>
                      </a:ln>
                      <a:effectLst/>
                    </a:spPr>
                    <a:txSp>
                      <a:txBody>
                        <a:bodyPr wrap="none" anchor="ctr">
                          <a:prstTxWarp prst="textNoShape">
                            <a:avLst/>
                          </a:prstTxWarp>
                        </a:bodyPr>
                        <a:lstStyle>
                          <a:defPPr>
                            <a:defRPr lang="en-US"/>
                          </a:defPPr>
                          <a:lvl1pPr algn="l" rtl="0" fontAlgn="base">
                            <a:spcBef>
                              <a:spcPct val="0"/>
                            </a:spcBef>
                            <a:spcAft>
                              <a:spcPct val="0"/>
                            </a:spcAft>
                            <a:defRPr sz="2800" kern="1200">
                              <a:solidFill>
                                <a:schemeClr val="tx1"/>
                              </a:solidFill>
                              <a:latin typeface="Times New Roman" charset="0"/>
                              <a:ea typeface="Times New Roman" charset="0"/>
                              <a:cs typeface="Times New Roman" charset="0"/>
                            </a:defRPr>
                          </a:lvl1pPr>
                          <a:lvl2pPr marL="457200" algn="l" rtl="0" fontAlgn="base">
                            <a:spcBef>
                              <a:spcPct val="0"/>
                            </a:spcBef>
                            <a:spcAft>
                              <a:spcPct val="0"/>
                            </a:spcAft>
                            <a:defRPr sz="2800" kern="1200">
                              <a:solidFill>
                                <a:schemeClr val="tx1"/>
                              </a:solidFill>
                              <a:latin typeface="Times New Roman" charset="0"/>
                              <a:ea typeface="Times New Roman" charset="0"/>
                              <a:cs typeface="Times New Roman" charset="0"/>
                            </a:defRPr>
                          </a:lvl2pPr>
                          <a:lvl3pPr marL="914400" algn="l" rtl="0" fontAlgn="base">
                            <a:spcBef>
                              <a:spcPct val="0"/>
                            </a:spcBef>
                            <a:spcAft>
                              <a:spcPct val="0"/>
                            </a:spcAft>
                            <a:defRPr sz="2800" kern="1200">
                              <a:solidFill>
                                <a:schemeClr val="tx1"/>
                              </a:solidFill>
                              <a:latin typeface="Times New Roman" charset="0"/>
                              <a:ea typeface="Times New Roman" charset="0"/>
                              <a:cs typeface="Times New Roman" charset="0"/>
                            </a:defRPr>
                          </a:lvl3pPr>
                          <a:lvl4pPr marL="1371600" algn="l" rtl="0" fontAlgn="base">
                            <a:spcBef>
                              <a:spcPct val="0"/>
                            </a:spcBef>
                            <a:spcAft>
                              <a:spcPct val="0"/>
                            </a:spcAft>
                            <a:defRPr sz="2800" kern="1200">
                              <a:solidFill>
                                <a:schemeClr val="tx1"/>
                              </a:solidFill>
                              <a:latin typeface="Times New Roman" charset="0"/>
                              <a:ea typeface="Times New Roman" charset="0"/>
                              <a:cs typeface="Times New Roman" charset="0"/>
                            </a:defRPr>
                          </a:lvl4pPr>
                          <a:lvl5pPr marL="1828800" algn="l" rtl="0" fontAlgn="base">
                            <a:spcBef>
                              <a:spcPct val="0"/>
                            </a:spcBef>
                            <a:spcAft>
                              <a:spcPct val="0"/>
                            </a:spcAft>
                            <a:defRPr sz="2800" kern="1200">
                              <a:solidFill>
                                <a:schemeClr val="tx1"/>
                              </a:solidFill>
                              <a:latin typeface="Times New Roman" charset="0"/>
                              <a:ea typeface="Times New Roman" charset="0"/>
                              <a:cs typeface="Times New Roman" charset="0"/>
                            </a:defRPr>
                          </a:lvl5pPr>
                          <a:lvl6pPr marL="2286000" algn="l" defTabSz="457200" rtl="0" eaLnBrk="1" latinLnBrk="0" hangingPunct="1">
                            <a:defRPr sz="2800" kern="1200">
                              <a:solidFill>
                                <a:schemeClr val="tx1"/>
                              </a:solidFill>
                              <a:latin typeface="Times New Roman" charset="0"/>
                              <a:ea typeface="Times New Roman" charset="0"/>
                              <a:cs typeface="Times New Roman" charset="0"/>
                            </a:defRPr>
                          </a:lvl6pPr>
                          <a:lvl7pPr marL="2743200" algn="l" defTabSz="457200" rtl="0" eaLnBrk="1" latinLnBrk="0" hangingPunct="1">
                            <a:defRPr sz="2800" kern="1200">
                              <a:solidFill>
                                <a:schemeClr val="tx1"/>
                              </a:solidFill>
                              <a:latin typeface="Times New Roman" charset="0"/>
                              <a:ea typeface="Times New Roman" charset="0"/>
                              <a:cs typeface="Times New Roman" charset="0"/>
                            </a:defRPr>
                          </a:lvl7pPr>
                          <a:lvl8pPr marL="3200400" algn="l" defTabSz="457200" rtl="0" eaLnBrk="1" latinLnBrk="0" hangingPunct="1">
                            <a:defRPr sz="2800" kern="1200">
                              <a:solidFill>
                                <a:schemeClr val="tx1"/>
                              </a:solidFill>
                              <a:latin typeface="Times New Roman" charset="0"/>
                              <a:ea typeface="Times New Roman" charset="0"/>
                              <a:cs typeface="Times New Roman" charset="0"/>
                            </a:defRPr>
                          </a:lvl8pPr>
                          <a:lvl9pPr marL="3657600" algn="l" defTabSz="457200" rtl="0" eaLnBrk="1" latinLnBrk="0" hangingPunct="1">
                            <a:defRPr sz="2800" kern="1200">
                              <a:solidFill>
                                <a:schemeClr val="tx1"/>
                              </a:solidFill>
                              <a:latin typeface="Times New Roman" charset="0"/>
                              <a:ea typeface="Times New Roman" charset="0"/>
                              <a:cs typeface="Times New Roman" charset="0"/>
                            </a:defRPr>
                          </a:lvl9pPr>
                        </a:lstStyle>
                        <a:p>
                          <a:endParaRPr lang="en-US"/>
                        </a:p>
                      </a:txBody>
                      <a:useSpRect/>
                    </a:txSp>
                  </a:sp>
                  <a:sp>
                    <a:nvSpPr>
                      <a:cNvPr id="55302" name="Oval 6"/>
                      <a:cNvSpPr>
                        <a:spLocks noChangeArrowheads="1"/>
                      </a:cNvSpPr>
                    </a:nvSpPr>
                    <a:spPr bwMode="auto">
                      <a:xfrm>
                        <a:off x="5181600" y="3200400"/>
                        <a:ext cx="990600" cy="533400"/>
                      </a:xfrm>
                      <a:prstGeom prst="ellipse">
                        <a:avLst/>
                      </a:prstGeom>
                      <a:solidFill>
                        <a:schemeClr val="bg1"/>
                      </a:solidFill>
                      <a:ln w="9525">
                        <a:noFill/>
                        <a:round/>
                        <a:headEnd/>
                        <a:tailEnd/>
                      </a:ln>
                      <a:effectLst/>
                    </a:spPr>
                    <a:txSp>
                      <a:txBody>
                        <a:bodyPr wrap="none" anchor="ctr">
                          <a:prstTxWarp prst="textNoShape">
                            <a:avLst/>
                          </a:prstTxWarp>
                        </a:bodyPr>
                        <a:lstStyle>
                          <a:defPPr>
                            <a:defRPr lang="en-US"/>
                          </a:defPPr>
                          <a:lvl1pPr algn="l" rtl="0" fontAlgn="base">
                            <a:spcBef>
                              <a:spcPct val="0"/>
                            </a:spcBef>
                            <a:spcAft>
                              <a:spcPct val="0"/>
                            </a:spcAft>
                            <a:defRPr sz="2800" kern="1200">
                              <a:solidFill>
                                <a:schemeClr val="tx1"/>
                              </a:solidFill>
                              <a:latin typeface="Times New Roman" charset="0"/>
                              <a:ea typeface="Times New Roman" charset="0"/>
                              <a:cs typeface="Times New Roman" charset="0"/>
                            </a:defRPr>
                          </a:lvl1pPr>
                          <a:lvl2pPr marL="457200" algn="l" rtl="0" fontAlgn="base">
                            <a:spcBef>
                              <a:spcPct val="0"/>
                            </a:spcBef>
                            <a:spcAft>
                              <a:spcPct val="0"/>
                            </a:spcAft>
                            <a:defRPr sz="2800" kern="1200">
                              <a:solidFill>
                                <a:schemeClr val="tx1"/>
                              </a:solidFill>
                              <a:latin typeface="Times New Roman" charset="0"/>
                              <a:ea typeface="Times New Roman" charset="0"/>
                              <a:cs typeface="Times New Roman" charset="0"/>
                            </a:defRPr>
                          </a:lvl2pPr>
                          <a:lvl3pPr marL="914400" algn="l" rtl="0" fontAlgn="base">
                            <a:spcBef>
                              <a:spcPct val="0"/>
                            </a:spcBef>
                            <a:spcAft>
                              <a:spcPct val="0"/>
                            </a:spcAft>
                            <a:defRPr sz="2800" kern="1200">
                              <a:solidFill>
                                <a:schemeClr val="tx1"/>
                              </a:solidFill>
                              <a:latin typeface="Times New Roman" charset="0"/>
                              <a:ea typeface="Times New Roman" charset="0"/>
                              <a:cs typeface="Times New Roman" charset="0"/>
                            </a:defRPr>
                          </a:lvl3pPr>
                          <a:lvl4pPr marL="1371600" algn="l" rtl="0" fontAlgn="base">
                            <a:spcBef>
                              <a:spcPct val="0"/>
                            </a:spcBef>
                            <a:spcAft>
                              <a:spcPct val="0"/>
                            </a:spcAft>
                            <a:defRPr sz="2800" kern="1200">
                              <a:solidFill>
                                <a:schemeClr val="tx1"/>
                              </a:solidFill>
                              <a:latin typeface="Times New Roman" charset="0"/>
                              <a:ea typeface="Times New Roman" charset="0"/>
                              <a:cs typeface="Times New Roman" charset="0"/>
                            </a:defRPr>
                          </a:lvl4pPr>
                          <a:lvl5pPr marL="1828800" algn="l" rtl="0" fontAlgn="base">
                            <a:spcBef>
                              <a:spcPct val="0"/>
                            </a:spcBef>
                            <a:spcAft>
                              <a:spcPct val="0"/>
                            </a:spcAft>
                            <a:defRPr sz="2800" kern="1200">
                              <a:solidFill>
                                <a:schemeClr val="tx1"/>
                              </a:solidFill>
                              <a:latin typeface="Times New Roman" charset="0"/>
                              <a:ea typeface="Times New Roman" charset="0"/>
                              <a:cs typeface="Times New Roman" charset="0"/>
                            </a:defRPr>
                          </a:lvl5pPr>
                          <a:lvl6pPr marL="2286000" algn="l" defTabSz="457200" rtl="0" eaLnBrk="1" latinLnBrk="0" hangingPunct="1">
                            <a:defRPr sz="2800" kern="1200">
                              <a:solidFill>
                                <a:schemeClr val="tx1"/>
                              </a:solidFill>
                              <a:latin typeface="Times New Roman" charset="0"/>
                              <a:ea typeface="Times New Roman" charset="0"/>
                              <a:cs typeface="Times New Roman" charset="0"/>
                            </a:defRPr>
                          </a:lvl6pPr>
                          <a:lvl7pPr marL="2743200" algn="l" defTabSz="457200" rtl="0" eaLnBrk="1" latinLnBrk="0" hangingPunct="1">
                            <a:defRPr sz="2800" kern="1200">
                              <a:solidFill>
                                <a:schemeClr val="tx1"/>
                              </a:solidFill>
                              <a:latin typeface="Times New Roman" charset="0"/>
                              <a:ea typeface="Times New Roman" charset="0"/>
                              <a:cs typeface="Times New Roman" charset="0"/>
                            </a:defRPr>
                          </a:lvl7pPr>
                          <a:lvl8pPr marL="3200400" algn="l" defTabSz="457200" rtl="0" eaLnBrk="1" latinLnBrk="0" hangingPunct="1">
                            <a:defRPr sz="2800" kern="1200">
                              <a:solidFill>
                                <a:schemeClr val="tx1"/>
                              </a:solidFill>
                              <a:latin typeface="Times New Roman" charset="0"/>
                              <a:ea typeface="Times New Roman" charset="0"/>
                              <a:cs typeface="Times New Roman" charset="0"/>
                            </a:defRPr>
                          </a:lvl8pPr>
                          <a:lvl9pPr marL="3657600" algn="l" defTabSz="457200" rtl="0" eaLnBrk="1" latinLnBrk="0" hangingPunct="1">
                            <a:defRPr sz="2800" kern="1200">
                              <a:solidFill>
                                <a:schemeClr val="tx1"/>
                              </a:solidFill>
                              <a:latin typeface="Times New Roman" charset="0"/>
                              <a:ea typeface="Times New Roman" charset="0"/>
                              <a:cs typeface="Times New Roman" charset="0"/>
                            </a:defRPr>
                          </a:lvl9pPr>
                        </a:lstStyle>
                        <a:p>
                          <a:endParaRPr lang="en-US"/>
                        </a:p>
                      </a:txBody>
                      <a:useSpRect/>
                    </a:txSp>
                  </a:sp>
                  <a:sp>
                    <a:nvSpPr>
                      <a:cNvPr id="55303" name="Rectangle 7"/>
                      <a:cNvSpPr>
                        <a:spLocks noChangeArrowheads="1"/>
                      </a:cNvSpPr>
                    </a:nvSpPr>
                    <a:spPr bwMode="auto">
                      <a:xfrm>
                        <a:off x="5867400" y="3429000"/>
                        <a:ext cx="304800" cy="304800"/>
                      </a:xfrm>
                      <a:prstGeom prst="rect">
                        <a:avLst/>
                      </a:prstGeom>
                      <a:solidFill>
                        <a:schemeClr val="bg1"/>
                      </a:solidFill>
                      <a:ln w="9525">
                        <a:noFill/>
                        <a:miter lim="800000"/>
                        <a:headEnd/>
                        <a:tailEnd/>
                      </a:ln>
                      <a:effectLst/>
                    </a:spPr>
                    <a:txSp>
                      <a:txBody>
                        <a:bodyPr wrap="none" anchor="ctr">
                          <a:prstTxWarp prst="textNoShape">
                            <a:avLst/>
                          </a:prstTxWarp>
                        </a:bodyPr>
                        <a:lstStyle>
                          <a:defPPr>
                            <a:defRPr lang="en-US"/>
                          </a:defPPr>
                          <a:lvl1pPr algn="l" rtl="0" fontAlgn="base">
                            <a:spcBef>
                              <a:spcPct val="0"/>
                            </a:spcBef>
                            <a:spcAft>
                              <a:spcPct val="0"/>
                            </a:spcAft>
                            <a:defRPr sz="2800" kern="1200">
                              <a:solidFill>
                                <a:schemeClr val="tx1"/>
                              </a:solidFill>
                              <a:latin typeface="Times New Roman" charset="0"/>
                              <a:ea typeface="Times New Roman" charset="0"/>
                              <a:cs typeface="Times New Roman" charset="0"/>
                            </a:defRPr>
                          </a:lvl1pPr>
                          <a:lvl2pPr marL="457200" algn="l" rtl="0" fontAlgn="base">
                            <a:spcBef>
                              <a:spcPct val="0"/>
                            </a:spcBef>
                            <a:spcAft>
                              <a:spcPct val="0"/>
                            </a:spcAft>
                            <a:defRPr sz="2800" kern="1200">
                              <a:solidFill>
                                <a:schemeClr val="tx1"/>
                              </a:solidFill>
                              <a:latin typeface="Times New Roman" charset="0"/>
                              <a:ea typeface="Times New Roman" charset="0"/>
                              <a:cs typeface="Times New Roman" charset="0"/>
                            </a:defRPr>
                          </a:lvl2pPr>
                          <a:lvl3pPr marL="914400" algn="l" rtl="0" fontAlgn="base">
                            <a:spcBef>
                              <a:spcPct val="0"/>
                            </a:spcBef>
                            <a:spcAft>
                              <a:spcPct val="0"/>
                            </a:spcAft>
                            <a:defRPr sz="2800" kern="1200">
                              <a:solidFill>
                                <a:schemeClr val="tx1"/>
                              </a:solidFill>
                              <a:latin typeface="Times New Roman" charset="0"/>
                              <a:ea typeface="Times New Roman" charset="0"/>
                              <a:cs typeface="Times New Roman" charset="0"/>
                            </a:defRPr>
                          </a:lvl3pPr>
                          <a:lvl4pPr marL="1371600" algn="l" rtl="0" fontAlgn="base">
                            <a:spcBef>
                              <a:spcPct val="0"/>
                            </a:spcBef>
                            <a:spcAft>
                              <a:spcPct val="0"/>
                            </a:spcAft>
                            <a:defRPr sz="2800" kern="1200">
                              <a:solidFill>
                                <a:schemeClr val="tx1"/>
                              </a:solidFill>
                              <a:latin typeface="Times New Roman" charset="0"/>
                              <a:ea typeface="Times New Roman" charset="0"/>
                              <a:cs typeface="Times New Roman" charset="0"/>
                            </a:defRPr>
                          </a:lvl4pPr>
                          <a:lvl5pPr marL="1828800" algn="l" rtl="0" fontAlgn="base">
                            <a:spcBef>
                              <a:spcPct val="0"/>
                            </a:spcBef>
                            <a:spcAft>
                              <a:spcPct val="0"/>
                            </a:spcAft>
                            <a:defRPr sz="2800" kern="1200">
                              <a:solidFill>
                                <a:schemeClr val="tx1"/>
                              </a:solidFill>
                              <a:latin typeface="Times New Roman" charset="0"/>
                              <a:ea typeface="Times New Roman" charset="0"/>
                              <a:cs typeface="Times New Roman" charset="0"/>
                            </a:defRPr>
                          </a:lvl5pPr>
                          <a:lvl6pPr marL="2286000" algn="l" defTabSz="457200" rtl="0" eaLnBrk="1" latinLnBrk="0" hangingPunct="1">
                            <a:defRPr sz="2800" kern="1200">
                              <a:solidFill>
                                <a:schemeClr val="tx1"/>
                              </a:solidFill>
                              <a:latin typeface="Times New Roman" charset="0"/>
                              <a:ea typeface="Times New Roman" charset="0"/>
                              <a:cs typeface="Times New Roman" charset="0"/>
                            </a:defRPr>
                          </a:lvl6pPr>
                          <a:lvl7pPr marL="2743200" algn="l" defTabSz="457200" rtl="0" eaLnBrk="1" latinLnBrk="0" hangingPunct="1">
                            <a:defRPr sz="2800" kern="1200">
                              <a:solidFill>
                                <a:schemeClr val="tx1"/>
                              </a:solidFill>
                              <a:latin typeface="Times New Roman" charset="0"/>
                              <a:ea typeface="Times New Roman" charset="0"/>
                              <a:cs typeface="Times New Roman" charset="0"/>
                            </a:defRPr>
                          </a:lvl7pPr>
                          <a:lvl8pPr marL="3200400" algn="l" defTabSz="457200" rtl="0" eaLnBrk="1" latinLnBrk="0" hangingPunct="1">
                            <a:defRPr sz="2800" kern="1200">
                              <a:solidFill>
                                <a:schemeClr val="tx1"/>
                              </a:solidFill>
                              <a:latin typeface="Times New Roman" charset="0"/>
                              <a:ea typeface="Times New Roman" charset="0"/>
                              <a:cs typeface="Times New Roman" charset="0"/>
                            </a:defRPr>
                          </a:lvl8pPr>
                          <a:lvl9pPr marL="3657600" algn="l" defTabSz="457200" rtl="0" eaLnBrk="1" latinLnBrk="0" hangingPunct="1">
                            <a:defRPr sz="2800" kern="1200">
                              <a:solidFill>
                                <a:schemeClr val="tx1"/>
                              </a:solidFill>
                              <a:latin typeface="Times New Roman" charset="0"/>
                              <a:ea typeface="Times New Roman" charset="0"/>
                              <a:cs typeface="Times New Roman" charset="0"/>
                            </a:defRPr>
                          </a:lvl9pPr>
                        </a:lstStyle>
                        <a:p>
                          <a:endParaRPr lang="en-US"/>
                        </a:p>
                      </a:txBody>
                      <a:useSpRect/>
                    </a:txSp>
                  </a:sp>
                  <a:sp>
                    <a:nvSpPr>
                      <a:cNvPr id="55304" name="Text Box 8"/>
                      <a:cNvSpPr txBox="1">
                        <a:spLocks noChangeArrowheads="1"/>
                      </a:cNvSpPr>
                    </a:nvSpPr>
                    <a:spPr bwMode="auto">
                      <a:xfrm>
                        <a:off x="5867400" y="2971800"/>
                        <a:ext cx="2286000" cy="274638"/>
                      </a:xfrm>
                      <a:prstGeom prst="rect">
                        <a:avLst/>
                      </a:prstGeom>
                      <a:noFill/>
                      <a:ln w="9525">
                        <a:noFill/>
                        <a:miter lim="800000"/>
                        <a:headEnd/>
                        <a:tailEnd/>
                      </a:ln>
                      <a:effectLst/>
                    </a:spPr>
                    <a:txSp>
                      <a:txBody>
                        <a:bodyPr>
                          <a:prstTxWarp prst="textNoShape">
                            <a:avLst/>
                          </a:prstTxWarp>
                          <a:spAutoFit/>
                        </a:bodyPr>
                        <a:lstStyle>
                          <a:defPPr>
                            <a:defRPr lang="en-US"/>
                          </a:defPPr>
                          <a:lvl1pPr algn="l" rtl="0" fontAlgn="base">
                            <a:spcBef>
                              <a:spcPct val="0"/>
                            </a:spcBef>
                            <a:spcAft>
                              <a:spcPct val="0"/>
                            </a:spcAft>
                            <a:defRPr sz="2800" kern="1200">
                              <a:solidFill>
                                <a:schemeClr val="tx1"/>
                              </a:solidFill>
                              <a:latin typeface="Times New Roman" charset="0"/>
                              <a:ea typeface="Times New Roman" charset="0"/>
                              <a:cs typeface="Times New Roman" charset="0"/>
                            </a:defRPr>
                          </a:lvl1pPr>
                          <a:lvl2pPr marL="457200" algn="l" rtl="0" fontAlgn="base">
                            <a:spcBef>
                              <a:spcPct val="0"/>
                            </a:spcBef>
                            <a:spcAft>
                              <a:spcPct val="0"/>
                            </a:spcAft>
                            <a:defRPr sz="2800" kern="1200">
                              <a:solidFill>
                                <a:schemeClr val="tx1"/>
                              </a:solidFill>
                              <a:latin typeface="Times New Roman" charset="0"/>
                              <a:ea typeface="Times New Roman" charset="0"/>
                              <a:cs typeface="Times New Roman" charset="0"/>
                            </a:defRPr>
                          </a:lvl2pPr>
                          <a:lvl3pPr marL="914400" algn="l" rtl="0" fontAlgn="base">
                            <a:spcBef>
                              <a:spcPct val="0"/>
                            </a:spcBef>
                            <a:spcAft>
                              <a:spcPct val="0"/>
                            </a:spcAft>
                            <a:defRPr sz="2800" kern="1200">
                              <a:solidFill>
                                <a:schemeClr val="tx1"/>
                              </a:solidFill>
                              <a:latin typeface="Times New Roman" charset="0"/>
                              <a:ea typeface="Times New Roman" charset="0"/>
                              <a:cs typeface="Times New Roman" charset="0"/>
                            </a:defRPr>
                          </a:lvl3pPr>
                          <a:lvl4pPr marL="1371600" algn="l" rtl="0" fontAlgn="base">
                            <a:spcBef>
                              <a:spcPct val="0"/>
                            </a:spcBef>
                            <a:spcAft>
                              <a:spcPct val="0"/>
                            </a:spcAft>
                            <a:defRPr sz="2800" kern="1200">
                              <a:solidFill>
                                <a:schemeClr val="tx1"/>
                              </a:solidFill>
                              <a:latin typeface="Times New Roman" charset="0"/>
                              <a:ea typeface="Times New Roman" charset="0"/>
                              <a:cs typeface="Times New Roman" charset="0"/>
                            </a:defRPr>
                          </a:lvl4pPr>
                          <a:lvl5pPr marL="1828800" algn="l" rtl="0" fontAlgn="base">
                            <a:spcBef>
                              <a:spcPct val="0"/>
                            </a:spcBef>
                            <a:spcAft>
                              <a:spcPct val="0"/>
                            </a:spcAft>
                            <a:defRPr sz="2800" kern="1200">
                              <a:solidFill>
                                <a:schemeClr val="tx1"/>
                              </a:solidFill>
                              <a:latin typeface="Times New Roman" charset="0"/>
                              <a:ea typeface="Times New Roman" charset="0"/>
                              <a:cs typeface="Times New Roman" charset="0"/>
                            </a:defRPr>
                          </a:lvl5pPr>
                          <a:lvl6pPr marL="2286000" algn="l" defTabSz="457200" rtl="0" eaLnBrk="1" latinLnBrk="0" hangingPunct="1">
                            <a:defRPr sz="2800" kern="1200">
                              <a:solidFill>
                                <a:schemeClr val="tx1"/>
                              </a:solidFill>
                              <a:latin typeface="Times New Roman" charset="0"/>
                              <a:ea typeface="Times New Roman" charset="0"/>
                              <a:cs typeface="Times New Roman" charset="0"/>
                            </a:defRPr>
                          </a:lvl6pPr>
                          <a:lvl7pPr marL="2743200" algn="l" defTabSz="457200" rtl="0" eaLnBrk="1" latinLnBrk="0" hangingPunct="1">
                            <a:defRPr sz="2800" kern="1200">
                              <a:solidFill>
                                <a:schemeClr val="tx1"/>
                              </a:solidFill>
                              <a:latin typeface="Times New Roman" charset="0"/>
                              <a:ea typeface="Times New Roman" charset="0"/>
                              <a:cs typeface="Times New Roman" charset="0"/>
                            </a:defRPr>
                          </a:lvl7pPr>
                          <a:lvl8pPr marL="3200400" algn="l" defTabSz="457200" rtl="0" eaLnBrk="1" latinLnBrk="0" hangingPunct="1">
                            <a:defRPr sz="2800" kern="1200">
                              <a:solidFill>
                                <a:schemeClr val="tx1"/>
                              </a:solidFill>
                              <a:latin typeface="Times New Roman" charset="0"/>
                              <a:ea typeface="Times New Roman" charset="0"/>
                              <a:cs typeface="Times New Roman" charset="0"/>
                            </a:defRPr>
                          </a:lvl8pPr>
                          <a:lvl9pPr marL="3657600" algn="l" defTabSz="457200" rtl="0" eaLnBrk="1" latinLnBrk="0" hangingPunct="1">
                            <a:defRPr sz="2800" kern="1200">
                              <a:solidFill>
                                <a:schemeClr val="tx1"/>
                              </a:solidFill>
                              <a:latin typeface="Times New Roman" charset="0"/>
                              <a:ea typeface="Times New Roman" charset="0"/>
                              <a:cs typeface="Times New Roman" charset="0"/>
                            </a:defRPr>
                          </a:lvl9pPr>
                        </a:lstStyle>
                        <a:p>
                          <a:pPr>
                            <a:spcBef>
                              <a:spcPct val="50000"/>
                            </a:spcBef>
                          </a:pPr>
                          <a:r>
                            <a:rPr lang="en-US" sz="1200" b="1">
                              <a:latin typeface="Palatino Linotype" pitchFamily="18" charset="0"/>
                            </a:rPr>
                            <a:t>Elevation-- 1900’</a:t>
                          </a:r>
                        </a:p>
                      </a:txBody>
                      <a:useSpRect/>
                    </a:txSp>
                  </a:sp>
                  <a:cxnSp>
                    <a:nvCxnSpPr>
                      <a:cNvPr id="16" name="Curved Connector 15"/>
                      <a:cNvCxnSpPr/>
                    </a:nvCxnSpPr>
                    <a:spPr bwMode="auto">
                      <a:xfrm rot="5400000" flipH="1" flipV="1">
                        <a:off x="1676400" y="3581400"/>
                        <a:ext cx="533400" cy="76200"/>
                      </a:xfrm>
                      <a:prstGeom prst="curvedConnector3">
                        <a:avLst>
                          <a:gd name="adj1" fmla="val 50000"/>
                        </a:avLst>
                      </a:prstGeom>
                      <a:solidFill>
                        <a:schemeClr val="accent1"/>
                      </a:solidFill>
                      <a:ln w="9525" cap="flat" cmpd="sng" algn="ctr">
                        <a:solidFill>
                          <a:schemeClr val="tx1"/>
                        </a:solidFill>
                        <a:prstDash val="solid"/>
                        <a:round/>
                        <a:headEnd type="none" w="med" len="med"/>
                        <a:tailEnd type="arrow"/>
                      </a:ln>
                      <a:effectLst/>
                    </a:spPr>
                  </a:cxnSp>
                  <a:sp>
                    <a:nvSpPr>
                      <a:cNvPr id="20" name="TextBox 19"/>
                      <a:cNvSpPr txBox="1"/>
                    </a:nvSpPr>
                    <a:spPr>
                      <a:xfrm>
                        <a:off x="1600200" y="3886200"/>
                        <a:ext cx="2557110" cy="307777"/>
                      </a:xfrm>
                      <a:prstGeom prst="rect">
                        <a:avLst/>
                      </a:prstGeom>
                      <a:noFill/>
                    </a:spPr>
                    <a:txSp>
                      <a:txBody>
                        <a:bodyPr wrap="none" rtlCol="0">
                          <a:spAutoFit/>
                        </a:bodyPr>
                        <a:lstStyle>
                          <a:defPPr>
                            <a:defRPr lang="en-US"/>
                          </a:defPPr>
                          <a:lvl1pPr algn="l" rtl="0" fontAlgn="base">
                            <a:spcBef>
                              <a:spcPct val="0"/>
                            </a:spcBef>
                            <a:spcAft>
                              <a:spcPct val="0"/>
                            </a:spcAft>
                            <a:defRPr sz="2800" kern="1200">
                              <a:solidFill>
                                <a:schemeClr val="tx1"/>
                              </a:solidFill>
                              <a:latin typeface="Times New Roman" charset="0"/>
                              <a:ea typeface="Times New Roman" charset="0"/>
                              <a:cs typeface="Times New Roman" charset="0"/>
                            </a:defRPr>
                          </a:lvl1pPr>
                          <a:lvl2pPr marL="457200" algn="l" rtl="0" fontAlgn="base">
                            <a:spcBef>
                              <a:spcPct val="0"/>
                            </a:spcBef>
                            <a:spcAft>
                              <a:spcPct val="0"/>
                            </a:spcAft>
                            <a:defRPr sz="2800" kern="1200">
                              <a:solidFill>
                                <a:schemeClr val="tx1"/>
                              </a:solidFill>
                              <a:latin typeface="Times New Roman" charset="0"/>
                              <a:ea typeface="Times New Roman" charset="0"/>
                              <a:cs typeface="Times New Roman" charset="0"/>
                            </a:defRPr>
                          </a:lvl2pPr>
                          <a:lvl3pPr marL="914400" algn="l" rtl="0" fontAlgn="base">
                            <a:spcBef>
                              <a:spcPct val="0"/>
                            </a:spcBef>
                            <a:spcAft>
                              <a:spcPct val="0"/>
                            </a:spcAft>
                            <a:defRPr sz="2800" kern="1200">
                              <a:solidFill>
                                <a:schemeClr val="tx1"/>
                              </a:solidFill>
                              <a:latin typeface="Times New Roman" charset="0"/>
                              <a:ea typeface="Times New Roman" charset="0"/>
                              <a:cs typeface="Times New Roman" charset="0"/>
                            </a:defRPr>
                          </a:lvl3pPr>
                          <a:lvl4pPr marL="1371600" algn="l" rtl="0" fontAlgn="base">
                            <a:spcBef>
                              <a:spcPct val="0"/>
                            </a:spcBef>
                            <a:spcAft>
                              <a:spcPct val="0"/>
                            </a:spcAft>
                            <a:defRPr sz="2800" kern="1200">
                              <a:solidFill>
                                <a:schemeClr val="tx1"/>
                              </a:solidFill>
                              <a:latin typeface="Times New Roman" charset="0"/>
                              <a:ea typeface="Times New Roman" charset="0"/>
                              <a:cs typeface="Times New Roman" charset="0"/>
                            </a:defRPr>
                          </a:lvl4pPr>
                          <a:lvl5pPr marL="1828800" algn="l" rtl="0" fontAlgn="base">
                            <a:spcBef>
                              <a:spcPct val="0"/>
                            </a:spcBef>
                            <a:spcAft>
                              <a:spcPct val="0"/>
                            </a:spcAft>
                            <a:defRPr sz="2800" kern="1200">
                              <a:solidFill>
                                <a:schemeClr val="tx1"/>
                              </a:solidFill>
                              <a:latin typeface="Times New Roman" charset="0"/>
                              <a:ea typeface="Times New Roman" charset="0"/>
                              <a:cs typeface="Times New Roman" charset="0"/>
                            </a:defRPr>
                          </a:lvl5pPr>
                          <a:lvl6pPr marL="2286000" algn="l" defTabSz="457200" rtl="0" eaLnBrk="1" latinLnBrk="0" hangingPunct="1">
                            <a:defRPr sz="2800" kern="1200">
                              <a:solidFill>
                                <a:schemeClr val="tx1"/>
                              </a:solidFill>
                              <a:latin typeface="Times New Roman" charset="0"/>
                              <a:ea typeface="Times New Roman" charset="0"/>
                              <a:cs typeface="Times New Roman" charset="0"/>
                            </a:defRPr>
                          </a:lvl6pPr>
                          <a:lvl7pPr marL="2743200" algn="l" defTabSz="457200" rtl="0" eaLnBrk="1" latinLnBrk="0" hangingPunct="1">
                            <a:defRPr sz="2800" kern="1200">
                              <a:solidFill>
                                <a:schemeClr val="tx1"/>
                              </a:solidFill>
                              <a:latin typeface="Times New Roman" charset="0"/>
                              <a:ea typeface="Times New Roman" charset="0"/>
                              <a:cs typeface="Times New Roman" charset="0"/>
                            </a:defRPr>
                          </a:lvl7pPr>
                          <a:lvl8pPr marL="3200400" algn="l" defTabSz="457200" rtl="0" eaLnBrk="1" latinLnBrk="0" hangingPunct="1">
                            <a:defRPr sz="2800" kern="1200">
                              <a:solidFill>
                                <a:schemeClr val="tx1"/>
                              </a:solidFill>
                              <a:latin typeface="Times New Roman" charset="0"/>
                              <a:ea typeface="Times New Roman" charset="0"/>
                              <a:cs typeface="Times New Roman" charset="0"/>
                            </a:defRPr>
                          </a:lvl8pPr>
                          <a:lvl9pPr marL="3657600" algn="l" defTabSz="457200" rtl="0" eaLnBrk="1" latinLnBrk="0" hangingPunct="1">
                            <a:defRPr sz="2800" kern="1200">
                              <a:solidFill>
                                <a:schemeClr val="tx1"/>
                              </a:solidFill>
                              <a:latin typeface="Times New Roman" charset="0"/>
                              <a:ea typeface="Times New Roman" charset="0"/>
                              <a:cs typeface="Times New Roman" charset="0"/>
                            </a:defRPr>
                          </a:lvl9pPr>
                        </a:lstStyle>
                        <a:p>
                          <a:r>
                            <a:rPr lang="en-US" sz="1400" dirty="0" smtClean="0">
                              <a:latin typeface="American Typewriter"/>
                              <a:cs typeface="American Typewriter"/>
                            </a:rPr>
                            <a:t>Upper Glen Rose Formation</a:t>
                          </a:r>
                          <a:endParaRPr lang="en-US" sz="1400" dirty="0">
                            <a:latin typeface="American Typewriter"/>
                            <a:cs typeface="American Typewriter"/>
                          </a:endParaRPr>
                        </a:p>
                      </a:txBody>
                      <a:useSpRect/>
                    </a:txSp>
                  </a:sp>
                </lc:lockedCanvas>
              </a:graphicData>
            </a:graphic>
          </wp:inline>
        </w:drawing>
      </w:r>
    </w:p>
    <w:p w:rsidR="000C47D4" w:rsidRPr="00D76CEF" w:rsidRDefault="00306ABC">
      <w:r w:rsidRPr="00306ABC">
        <w:rPr>
          <w:noProof/>
        </w:rPr>
        <w:t xml:space="preserve"> </w:t>
      </w:r>
    </w:p>
    <w:p w:rsidR="00BE3A42" w:rsidRDefault="00BE3A42" w:rsidP="00BE3A42">
      <w:r w:rsidRPr="00D76CEF">
        <w:t xml:space="preserve">Subsurface drainage networks, or conduits, dominate groundwater systems that drain </w:t>
      </w:r>
      <w:proofErr w:type="spellStart"/>
      <w:r w:rsidRPr="00D76CEF">
        <w:t>karst</w:t>
      </w:r>
      <w:proofErr w:type="spellEnd"/>
      <w:r w:rsidRPr="00D76CEF">
        <w:t xml:space="preserve"> terrain. </w:t>
      </w:r>
      <w:r w:rsidRPr="00D76CEF">
        <w:rPr>
          <w:rStyle w:val="EndnoteReference"/>
        </w:rPr>
        <w:endnoteReference w:id="26"/>
      </w:r>
      <w:r w:rsidRPr="00D76CEF">
        <w:t xml:space="preserve"> Precipitation that recharges the Edwards-Trinity (Plateau) aquifer tends to follows these conduits</w:t>
      </w:r>
      <w:r>
        <w:t xml:space="preserve"> (Figure 4)</w:t>
      </w:r>
      <w:r w:rsidRPr="00D76CEF">
        <w:t>. Where rivers such as the North and South Llano carve valleys into the Edwards Plateau, these conduits are exposed, resulting in springs. These springs are usually located where the Edwards Limestone rests on top of the denser, less permeable Glen Rose Formation.</w:t>
      </w:r>
    </w:p>
    <w:p w:rsidR="00BE3A42" w:rsidRDefault="00BE3A42" w:rsidP="00BE3A42">
      <w:pPr>
        <w:pStyle w:val="NormalIndent"/>
      </w:pPr>
    </w:p>
    <w:p w:rsidR="000C47D4" w:rsidRPr="00D76CEF" w:rsidRDefault="000C47D4">
      <w:r w:rsidRPr="00D76CEF">
        <w:t xml:space="preserve">Little is known about the exact origin of the water that feeds these springs.  However, some information can be inferred from topography and existing </w:t>
      </w:r>
      <w:proofErr w:type="spellStart"/>
      <w:r w:rsidRPr="00D76CEF">
        <w:t>hydrogeological</w:t>
      </w:r>
      <w:proofErr w:type="spellEnd"/>
      <w:r w:rsidRPr="00D76CEF">
        <w:t xml:space="preserve"> studies. </w:t>
      </w:r>
      <w:proofErr w:type="spellStart"/>
      <w:r w:rsidRPr="00D76CEF">
        <w:t>Kuniansky</w:t>
      </w:r>
      <w:proofErr w:type="spellEnd"/>
      <w:r w:rsidRPr="00D76CEF">
        <w:t xml:space="preserve"> and </w:t>
      </w:r>
      <w:proofErr w:type="spellStart"/>
      <w:r w:rsidRPr="00D76CEF">
        <w:t>Holligan</w:t>
      </w:r>
      <w:proofErr w:type="spellEnd"/>
      <w:r w:rsidRPr="00D76CEF">
        <w:rPr>
          <w:rStyle w:val="EndnoteReference"/>
        </w:rPr>
        <w:endnoteReference w:id="27"/>
      </w:r>
      <w:r w:rsidRPr="00D76CEF">
        <w:t xml:space="preserve"> note that the </w:t>
      </w:r>
      <w:proofErr w:type="spellStart"/>
      <w:r w:rsidRPr="00D76CEF">
        <w:t>potentiometric</w:t>
      </w:r>
      <w:proofErr w:type="spellEnd"/>
      <w:r w:rsidRPr="00D76CEF">
        <w:t xml:space="preserve"> surface (the elevation of the top of the water table) and the flow of groundwater </w:t>
      </w:r>
      <w:proofErr w:type="gramStart"/>
      <w:r w:rsidRPr="00D76CEF">
        <w:t>tends</w:t>
      </w:r>
      <w:proofErr w:type="gramEnd"/>
      <w:r w:rsidRPr="00D76CEF">
        <w:t xml:space="preserve"> to follow the topography in the E</w:t>
      </w:r>
      <w:r w:rsidR="00223368">
        <w:t>dwards Plateau region.  Figure 5</w:t>
      </w:r>
      <w:r w:rsidRPr="00D76CEF">
        <w:t xml:space="preserve"> is a map of the </w:t>
      </w:r>
      <w:proofErr w:type="spellStart"/>
      <w:r w:rsidRPr="00D76CEF">
        <w:t>potentiometric</w:t>
      </w:r>
      <w:proofErr w:type="spellEnd"/>
      <w:r w:rsidRPr="00D76CEF">
        <w:t xml:space="preserve"> surface in the </w:t>
      </w:r>
      <w:r w:rsidR="00104578" w:rsidRPr="00D76CEF">
        <w:t xml:space="preserve">North and </w:t>
      </w:r>
      <w:r w:rsidRPr="00D76CEF">
        <w:t xml:space="preserve">South Llano River area reproduced from the </w:t>
      </w:r>
      <w:proofErr w:type="spellStart"/>
      <w:r w:rsidRPr="00D76CEF">
        <w:t>Kuniansky</w:t>
      </w:r>
      <w:proofErr w:type="spellEnd"/>
      <w:r w:rsidRPr="00D76CEF">
        <w:t xml:space="preserve"> and </w:t>
      </w:r>
      <w:proofErr w:type="spellStart"/>
      <w:r w:rsidRPr="00D76CEF">
        <w:t>Holligan</w:t>
      </w:r>
      <w:proofErr w:type="spellEnd"/>
      <w:r w:rsidRPr="00D76CEF">
        <w:t xml:space="preserve"> report. </w:t>
      </w:r>
    </w:p>
    <w:p w:rsidR="000C47D4" w:rsidRPr="00D76CEF" w:rsidRDefault="000C47D4"/>
    <w:p w:rsidR="00D8755A" w:rsidRDefault="000C47D4">
      <w:r w:rsidRPr="00D76CEF">
        <w:t xml:space="preserve">There are several areas surrounding the </w:t>
      </w:r>
      <w:r w:rsidR="000C4884" w:rsidRPr="00D76CEF">
        <w:t>North and South Llano r</w:t>
      </w:r>
      <w:r w:rsidRPr="00D76CEF">
        <w:t>iver</w:t>
      </w:r>
      <w:r w:rsidR="000C4884" w:rsidRPr="00D76CEF">
        <w:t>s and their</w:t>
      </w:r>
      <w:r w:rsidRPr="00D76CEF">
        <w:t xml:space="preserve"> tributaries where the elevation of the water table is over 2,000 feet above sea level. The level of the springs along the </w:t>
      </w:r>
      <w:r w:rsidR="00B83C2D">
        <w:t>rivers</w:t>
      </w:r>
      <w:r w:rsidRPr="00D76CEF">
        <w:t xml:space="preserve"> is approximately 1,900</w:t>
      </w:r>
      <w:r w:rsidR="00927ED5" w:rsidRPr="00D76CEF">
        <w:t xml:space="preserve"> to 2,000</w:t>
      </w:r>
      <w:r w:rsidRPr="00D76CEF">
        <w:t xml:space="preserve"> feet, so it can be assumed that groundwater flows ‘down gradient’ towards the springs.</w:t>
      </w:r>
      <w:r w:rsidRPr="00D76CEF">
        <w:rPr>
          <w:rStyle w:val="EndnoteReference"/>
        </w:rPr>
        <w:endnoteReference w:id="28"/>
      </w:r>
      <w:r w:rsidRPr="00D76CEF">
        <w:t xml:space="preserve"> </w:t>
      </w:r>
      <w:proofErr w:type="spellStart"/>
      <w:r w:rsidRPr="00D76CEF">
        <w:t>Kuniansky</w:t>
      </w:r>
      <w:proofErr w:type="spellEnd"/>
      <w:r w:rsidRPr="00D76CEF">
        <w:t xml:space="preserve"> and </w:t>
      </w:r>
      <w:proofErr w:type="spellStart"/>
      <w:r w:rsidRPr="00D76CEF">
        <w:t>Holligan</w:t>
      </w:r>
      <w:proofErr w:type="spellEnd"/>
      <w:r w:rsidRPr="00D76CEF">
        <w:t xml:space="preserve"> suggest that the waters that feed the springs</w:t>
      </w:r>
      <w:r w:rsidR="00260CC9" w:rsidRPr="00D76CEF">
        <w:t xml:space="preserve"> in the north portion</w:t>
      </w:r>
      <w:r w:rsidRPr="00D76CEF">
        <w:t xml:space="preserve"> </w:t>
      </w:r>
      <w:r w:rsidR="00927ED5" w:rsidRPr="00D76CEF">
        <w:t>of the North Llano probably originate from northeastern Sutton</w:t>
      </w:r>
      <w:r w:rsidR="00260CC9" w:rsidRPr="00D76CEF">
        <w:t xml:space="preserve">; springs in the south portion of the watershed likely originate from southeastern Sutton and southwestern Kimble County.  In the South Llano, springs </w:t>
      </w:r>
      <w:r w:rsidRPr="00D76CEF">
        <w:t xml:space="preserve">along the left bank of the river (such as Seven Hundred and Tanner) probably originate from the area to the west in </w:t>
      </w:r>
      <w:r w:rsidR="00260CC9" w:rsidRPr="00D76CEF">
        <w:t>southwestern Kimble, southeastern Sutton, and northern Edwards counties.</w:t>
      </w:r>
    </w:p>
    <w:p w:rsidR="00D8755A" w:rsidRDefault="00D8755A" w:rsidP="00D8755A">
      <w:pPr>
        <w:pStyle w:val="NormalIndent"/>
      </w:pPr>
    </w:p>
    <w:p w:rsidR="00D8755A" w:rsidRPr="00D76CEF" w:rsidRDefault="00D8755A" w:rsidP="00D8755A">
      <w:r w:rsidRPr="00D76CEF">
        <w:t xml:space="preserve">Waters that feed the springs on the east side of the river and along Big Paint Creek probably originate from eastern Edwards, northern Real, and western Kerr counties. This water, located beneath the divide between the South Llano River (to the north), the Nueces, West Nueces, and Frio Rivers (to the south), and Guadalupe River (to the east), is most likely the source of spring flow for all of these river systems. </w:t>
      </w:r>
      <w:r w:rsidRPr="00D76CEF">
        <w:rPr>
          <w:rStyle w:val="EndnoteReference"/>
        </w:rPr>
        <w:endnoteReference w:id="29"/>
      </w:r>
      <w:r w:rsidRPr="00D76CEF">
        <w:t xml:space="preserve">  </w:t>
      </w:r>
    </w:p>
    <w:p w:rsidR="001F19A4" w:rsidRPr="00D8755A" w:rsidRDefault="001F19A4" w:rsidP="00D8755A">
      <w:pPr>
        <w:pStyle w:val="NormalIndent"/>
        <w:ind w:left="0"/>
      </w:pPr>
    </w:p>
    <w:p w:rsidR="001F19A4" w:rsidRDefault="001F19A4" w:rsidP="001F19A4">
      <w:pPr>
        <w:pStyle w:val="NormalIndent"/>
      </w:pPr>
    </w:p>
    <w:p w:rsidR="001F19A4" w:rsidRDefault="001F19A4" w:rsidP="001F19A4">
      <w:pPr>
        <w:pStyle w:val="NormalIndent"/>
      </w:pPr>
    </w:p>
    <w:p w:rsidR="000C47D4" w:rsidRPr="00223368" w:rsidRDefault="00223368">
      <w:pPr>
        <w:pStyle w:val="BodyText2"/>
        <w:jc w:val="left"/>
        <w:rPr>
          <w:rFonts w:ascii="Arial" w:hAnsi="Arial"/>
        </w:rPr>
      </w:pPr>
      <w:r w:rsidRPr="00223368">
        <w:rPr>
          <w:rFonts w:ascii="Arial" w:hAnsi="Arial"/>
        </w:rPr>
        <w:t>Figure 5</w:t>
      </w:r>
      <w:r w:rsidR="000C47D4" w:rsidRPr="00223368">
        <w:rPr>
          <w:rFonts w:ascii="Arial" w:hAnsi="Arial"/>
        </w:rPr>
        <w:t xml:space="preserve">. </w:t>
      </w:r>
      <w:proofErr w:type="gramStart"/>
      <w:r w:rsidR="000C47D4" w:rsidRPr="00223368">
        <w:rPr>
          <w:rFonts w:ascii="Arial" w:hAnsi="Arial"/>
        </w:rPr>
        <w:t xml:space="preserve">Historical </w:t>
      </w:r>
      <w:proofErr w:type="spellStart"/>
      <w:r w:rsidR="000C47D4" w:rsidRPr="00223368">
        <w:rPr>
          <w:rFonts w:ascii="Arial" w:hAnsi="Arial"/>
        </w:rPr>
        <w:t>potentiometric</w:t>
      </w:r>
      <w:proofErr w:type="spellEnd"/>
      <w:r w:rsidR="000C47D4" w:rsidRPr="00223368">
        <w:rPr>
          <w:rFonts w:ascii="Arial" w:hAnsi="Arial"/>
        </w:rPr>
        <w:t xml:space="preserve"> surface of the Edwards-Trinity aquifer system for the South Llano River watershed, 1915-69.</w:t>
      </w:r>
      <w:proofErr w:type="gramEnd"/>
      <w:r w:rsidR="000C47D4" w:rsidRPr="00223368">
        <w:rPr>
          <w:rFonts w:ascii="Arial" w:hAnsi="Arial"/>
        </w:rPr>
        <w:t xml:space="preserve"> (From </w:t>
      </w:r>
      <w:proofErr w:type="spellStart"/>
      <w:r w:rsidR="000C47D4" w:rsidRPr="00223368">
        <w:rPr>
          <w:rFonts w:ascii="Arial" w:hAnsi="Arial"/>
        </w:rPr>
        <w:t>Kuniansky</w:t>
      </w:r>
      <w:proofErr w:type="spellEnd"/>
      <w:r w:rsidR="000C47D4" w:rsidRPr="00223368">
        <w:rPr>
          <w:rFonts w:ascii="Arial" w:hAnsi="Arial"/>
        </w:rPr>
        <w:t xml:space="preserve"> and </w:t>
      </w:r>
      <w:proofErr w:type="spellStart"/>
      <w:r w:rsidR="000C47D4" w:rsidRPr="00223368">
        <w:rPr>
          <w:rFonts w:ascii="Arial" w:hAnsi="Arial"/>
        </w:rPr>
        <w:t>Holligan</w:t>
      </w:r>
      <w:proofErr w:type="spellEnd"/>
      <w:r w:rsidR="000C47D4" w:rsidRPr="00223368">
        <w:rPr>
          <w:rFonts w:ascii="Arial" w:hAnsi="Arial"/>
        </w:rPr>
        <w:t>, 1993) Arrows added to depict probable direction of groundwater flow</w:t>
      </w:r>
    </w:p>
    <w:p w:rsidR="000C47D4" w:rsidRPr="00D76CEF" w:rsidRDefault="001C51BC">
      <w:r w:rsidRPr="00D76CEF">
        <w:rPr>
          <w:noProof/>
        </w:rPr>
        <w:drawing>
          <wp:inline distT="0" distB="0" distL="0" distR="0">
            <wp:extent cx="5257800" cy="3154680"/>
            <wp:effectExtent l="25400" t="0" r="0" b="0"/>
            <wp:docPr id="4"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00" cy="3429000"/>
                      <a:chOff x="1714500" y="1714500"/>
                      <a:chExt cx="5715000" cy="3429000"/>
                    </a:xfrm>
                  </a:grpSpPr>
                  <a:pic>
                    <a:nvPicPr>
                      <a:cNvPr id="0" name="Object 2"/>
                      <a:cNvPicPr>
                        <a:picLocks noChangeAspect="1" noChangeArrowheads="1"/>
                      </a:cNvPicPr>
                    </a:nvPicPr>
                    <a:blipFill>
                      <a:blip r:embed="rId15"/>
                      <a:srcRect/>
                      <a:stretch>
                        <a:fillRect/>
                      </a:stretch>
                    </a:blipFill>
                    <a:spPr bwMode="auto">
                      <a:xfrm>
                        <a:off x="1714500" y="1714500"/>
                        <a:ext cx="5715000" cy="3429000"/>
                      </a:xfrm>
                      <a:prstGeom prst="rect">
                        <a:avLst/>
                      </a:prstGeom>
                      <a:noFill/>
                      <a:ln w="9525">
                        <a:noFill/>
                        <a:miter lim="800000"/>
                        <a:headEnd/>
                        <a:tailEnd/>
                      </a:ln>
                      <a:effectLst/>
                    </a:spPr>
                  </a:pic>
                  <a:cxnSp>
                    <a:nvCxnSpPr>
                      <a:cNvPr id="6" name="Straight Arrow Connector 5"/>
                      <a:cNvCxnSpPr/>
                    </a:nvCxnSpPr>
                    <a:spPr>
                      <a:xfrm flipV="1">
                        <a:off x="3608564" y="2879637"/>
                        <a:ext cx="276614" cy="264071"/>
                      </a:xfrm>
                      <a:prstGeom prst="straightConnector1">
                        <a:avLst/>
                      </a:prstGeom>
                      <a:ln w="6350" cap="flat" cmpd="sng" algn="ctr">
                        <a:solidFill>
                          <a:schemeClr val="tx1"/>
                        </a:solidFill>
                        <a:prstDash val="solid"/>
                        <a:round/>
                        <a:headEnd type="none" w="med" len="med"/>
                        <a:tailEnd type="arrow" w="med" len="med"/>
                      </a:ln>
                    </a:spPr>
                    <a:style>
                      <a:lnRef idx="2">
                        <a:schemeClr val="accent1"/>
                      </a:lnRef>
                      <a:fillRef idx="0">
                        <a:schemeClr val="accent1"/>
                      </a:fillRef>
                      <a:effectRef idx="1">
                        <a:schemeClr val="accent1"/>
                      </a:effectRef>
                      <a:fontRef idx="minor">
                        <a:schemeClr val="tx1"/>
                      </a:fontRef>
                    </a:style>
                  </a:cxnSp>
                  <a:cxnSp>
                    <a:nvCxnSpPr>
                      <a:cNvPr id="9" name="Straight Arrow Connector 8"/>
                      <a:cNvCxnSpPr/>
                    </a:nvCxnSpPr>
                    <a:spPr>
                      <a:xfrm rot="16200000" flipH="1">
                        <a:off x="3337815" y="2395921"/>
                        <a:ext cx="415762" cy="301760"/>
                      </a:xfrm>
                      <a:prstGeom prst="straightConnector1">
                        <a:avLst/>
                      </a:prstGeom>
                      <a:ln w="6350" cap="flat" cmpd="sng" algn="ctr">
                        <a:solidFill>
                          <a:schemeClr val="tx1"/>
                        </a:solidFill>
                        <a:prstDash val="solid"/>
                        <a:round/>
                        <a:headEnd type="none" w="med" len="med"/>
                        <a:tailEnd type="arrow" w="med" len="med"/>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6C431E" w:rsidRPr="00D76CEF" w:rsidRDefault="006C431E"/>
    <w:p w:rsidR="008911CB" w:rsidRPr="00D76CEF" w:rsidRDefault="008911CB"/>
    <w:p w:rsidR="008911CB" w:rsidRPr="00D76CEF" w:rsidRDefault="00772E36">
      <w:r w:rsidRPr="00D76CEF">
        <w:t xml:space="preserve">Generally, water levels in wells across the </w:t>
      </w:r>
      <w:r w:rsidR="00B83C2D">
        <w:t>North and South Llano</w:t>
      </w:r>
      <w:r w:rsidRPr="00D76CEF">
        <w:t xml:space="preserve"> watershed</w:t>
      </w:r>
      <w:r w:rsidR="00B83C2D">
        <w:t>s</w:t>
      </w:r>
      <w:r w:rsidRPr="00D76CEF">
        <w:t xml:space="preserve"> do not appear to fluctuate significantly. Daniel B. Stevens and Associates analyzed water levels </w:t>
      </w:r>
      <w:r w:rsidR="000C1C40" w:rsidRPr="00D76CEF">
        <w:t xml:space="preserve">in eleven wells </w:t>
      </w:r>
      <w:r w:rsidRPr="00D76CEF">
        <w:t>in Kimble County wells from 2006 through 2008. Both 2</w:t>
      </w:r>
      <w:r w:rsidR="0079784A" w:rsidRPr="00D76CEF">
        <w:t>006 and 2008 were considered dry years, while 2007 was</w:t>
      </w:r>
      <w:r w:rsidRPr="00D76CEF">
        <w:t xml:space="preserve"> considered </w:t>
      </w:r>
      <w:r w:rsidR="0079784A" w:rsidRPr="00D76CEF">
        <w:t>a very wet year</w:t>
      </w:r>
      <w:r w:rsidRPr="00D76CEF">
        <w:t>.</w:t>
      </w:r>
      <w:r w:rsidR="0079784A" w:rsidRPr="00D76CEF">
        <w:t xml:space="preserve"> </w:t>
      </w:r>
      <w:r w:rsidRPr="00D76CEF">
        <w:t xml:space="preserve">  </w:t>
      </w:r>
      <w:r w:rsidR="000C1C40" w:rsidRPr="00D76CEF">
        <w:t>All but two wells exhibited water level fluctuations of more than two feet during this period. Water levels in one well located in the Copperas Creek drainage fluctuated 19 feet between wet and dry years, while another well in Bear Creek fluctuated 11 feet.</w:t>
      </w:r>
      <w:r w:rsidR="000C1C40" w:rsidRPr="00D76CEF">
        <w:rPr>
          <w:rStyle w:val="EndnoteReference"/>
        </w:rPr>
        <w:endnoteReference w:id="30"/>
      </w:r>
    </w:p>
    <w:p w:rsidR="008911CB" w:rsidRPr="00D76CEF" w:rsidRDefault="008911CB"/>
    <w:p w:rsidR="00EB0792" w:rsidRPr="00D8755A" w:rsidRDefault="000A0FB6" w:rsidP="00BE3A42">
      <w:r w:rsidRPr="00D76CEF">
        <w:t xml:space="preserve">Figure </w:t>
      </w:r>
      <w:r w:rsidR="00EB0792">
        <w:t>6</w:t>
      </w:r>
      <w:r w:rsidR="00BF68CC" w:rsidRPr="00D76CEF">
        <w:t xml:space="preserve"> </w:t>
      </w:r>
      <w:r w:rsidR="009A0C6B" w:rsidRPr="00D76CEF">
        <w:t>compares</w:t>
      </w:r>
      <w:r w:rsidR="00BF68CC" w:rsidRPr="00D76CEF">
        <w:t xml:space="preserve"> water level</w:t>
      </w:r>
      <w:r w:rsidR="009A0C6B" w:rsidRPr="00D76CEF">
        <w:t xml:space="preserve"> from a recently installed (2009) monitoring well near Rocksprings with periodic measurements from Seven Hundred Springs. </w:t>
      </w:r>
      <w:r w:rsidR="00913E21" w:rsidRPr="00D76CEF">
        <w:rPr>
          <w:rStyle w:val="EndnoteReference"/>
        </w:rPr>
        <w:endnoteReference w:id="31"/>
      </w:r>
      <w:r w:rsidR="00913E21" w:rsidRPr="00D76CEF">
        <w:t xml:space="preserve"> </w:t>
      </w:r>
      <w:r w:rsidR="009A0C6B" w:rsidRPr="00D76CEF">
        <w:t>Declines in water levels roughly correlate with</w:t>
      </w:r>
      <w:r w:rsidR="00BF68CC" w:rsidRPr="00D76CEF">
        <w:t xml:space="preserve"> declines</w:t>
      </w:r>
      <w:r w:rsidR="009A0C6B" w:rsidRPr="00D76CEF">
        <w:t xml:space="preserve"> in spring flow. </w:t>
      </w:r>
      <w:r w:rsidR="00BF68CC" w:rsidRPr="00D76CEF">
        <w:t xml:space="preserve"> </w:t>
      </w:r>
      <w:r w:rsidR="00913E21" w:rsidRPr="00D76CEF">
        <w:t xml:space="preserve">Since July of 2011, water levels in the Edwards-Trinity Aquifer have declined about two feet. </w:t>
      </w:r>
      <w:r w:rsidR="00BF68CC" w:rsidRPr="00D76CEF">
        <w:t xml:space="preserve">During this decline, discharge at Seven Hundred Springs has fallen from 18.8 </w:t>
      </w:r>
      <w:proofErr w:type="spellStart"/>
      <w:r w:rsidR="00BF68CC" w:rsidRPr="00D76CEF">
        <w:t>cfs</w:t>
      </w:r>
      <w:proofErr w:type="spellEnd"/>
      <w:r w:rsidR="00BF68CC" w:rsidRPr="00D76CEF">
        <w:t xml:space="preserve"> in March 2010 to a low of 11.7 </w:t>
      </w:r>
      <w:proofErr w:type="spellStart"/>
      <w:r w:rsidR="00BF68CC" w:rsidRPr="00D76CEF">
        <w:t>cfs</w:t>
      </w:r>
      <w:proofErr w:type="spellEnd"/>
      <w:r w:rsidR="00BF68CC" w:rsidRPr="00D76CEF">
        <w:t xml:space="preserve"> in </w:t>
      </w:r>
      <w:r w:rsidR="001B07A3" w:rsidRPr="00D76CEF">
        <w:t>February</w:t>
      </w:r>
      <w:r w:rsidR="00BF68CC" w:rsidRPr="00D76CEF">
        <w:t xml:space="preserve"> 2011. Since February 2011 </w:t>
      </w:r>
      <w:r w:rsidR="00913E21" w:rsidRPr="00D76CEF">
        <w:t xml:space="preserve">however, spring flows have increased slightly to about 14.3, despite a continual decline in aquifer levels. </w:t>
      </w:r>
      <w:r w:rsidR="00EA4252" w:rsidRPr="00D76CEF">
        <w:t>Although there is little data to compare spring flow with water levels, these might suggest that</w:t>
      </w:r>
      <w:r w:rsidR="001B07A3" w:rsidRPr="00D76CEF">
        <w:t xml:space="preserve"> spring flow at Seven Hundred Springs is influenced some by w</w:t>
      </w:r>
      <w:r w:rsidR="00EA4252" w:rsidRPr="00D76CEF">
        <w:t>ater levels in the aquifer, but other factors may also exist.</w:t>
      </w:r>
    </w:p>
    <w:p w:rsidR="000A0FB6" w:rsidRPr="00EB0792" w:rsidRDefault="000A0FB6" w:rsidP="00EB0792">
      <w:pPr>
        <w:pStyle w:val="NormalIndent"/>
      </w:pPr>
    </w:p>
    <w:p w:rsidR="00EB0792" w:rsidRPr="00EB0792" w:rsidRDefault="00EB0792" w:rsidP="00EB0792">
      <w:pPr>
        <w:rPr>
          <w:rFonts w:ascii="Arial" w:hAnsi="Arial"/>
          <w:b/>
        </w:rPr>
      </w:pPr>
      <w:r>
        <w:rPr>
          <w:rFonts w:ascii="Arial" w:hAnsi="Arial"/>
          <w:b/>
        </w:rPr>
        <w:t>Figure 6</w:t>
      </w:r>
      <w:r w:rsidRPr="00EB0792">
        <w:rPr>
          <w:rFonts w:ascii="Arial" w:hAnsi="Arial"/>
          <w:b/>
        </w:rPr>
        <w:t xml:space="preserve">. </w:t>
      </w:r>
      <w:r>
        <w:rPr>
          <w:rFonts w:ascii="Arial" w:hAnsi="Arial"/>
          <w:b/>
        </w:rPr>
        <w:t>Comparison of Monitoring Well (Lazy J Ranch) 9 miles northeast of Rocksprings with Seven Hundred Springs near Telegraph</w:t>
      </w:r>
    </w:p>
    <w:p w:rsidR="000A0FB6" w:rsidRPr="00EB0792" w:rsidRDefault="00EB0792">
      <w:pPr>
        <w:rPr>
          <w:b/>
        </w:rPr>
      </w:pPr>
      <w:r w:rsidRPr="00D76CEF">
        <w:rPr>
          <w:noProof/>
        </w:rPr>
        <w:drawing>
          <wp:inline distT="0" distB="0" distL="0" distR="0">
            <wp:extent cx="5257800" cy="3424264"/>
            <wp:effectExtent l="25400" t="25400" r="0" b="4736"/>
            <wp:docPr id="14"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C47D4" w:rsidRPr="00D76CEF" w:rsidRDefault="000C47D4" w:rsidP="009A0C6B">
      <w:pPr>
        <w:ind w:left="-810"/>
      </w:pPr>
    </w:p>
    <w:p w:rsidR="007103DB" w:rsidRPr="00D76CEF" w:rsidRDefault="000C47D4">
      <w:r w:rsidRPr="00D76CEF">
        <w:t xml:space="preserve">Without detailed </w:t>
      </w:r>
      <w:proofErr w:type="spellStart"/>
      <w:r w:rsidRPr="00D76CEF">
        <w:t>potentiometric</w:t>
      </w:r>
      <w:proofErr w:type="spellEnd"/>
      <w:r w:rsidRPr="00D76CEF">
        <w:t xml:space="preserve"> surface mapping and tracer testing, however, it is very difficult to accurately depict actual groundwater basins with any certainty.  There are many examples where groundwater basin boundaries are not coincident with topographic watershed boundaries.  The volume of water that discharges from the springs does indicate that the groundwater basins are sizable and probably incorporate hundreds of square miles. </w:t>
      </w:r>
      <w:r w:rsidRPr="00D76CEF">
        <w:rPr>
          <w:rStyle w:val="EndnoteReference"/>
        </w:rPr>
        <w:endnoteReference w:id="32"/>
      </w:r>
      <w:r w:rsidRPr="00D76CEF">
        <w:t xml:space="preserve">  </w:t>
      </w:r>
      <w:r w:rsidR="00260CC9" w:rsidRPr="00D76CEF">
        <w:t>Recent work by Dr. Ron Green</w:t>
      </w:r>
      <w:r w:rsidR="00E95F76" w:rsidRPr="00D76CEF">
        <w:t xml:space="preserve"> hypothesizes that because of </w:t>
      </w:r>
      <w:proofErr w:type="spellStart"/>
      <w:r w:rsidR="00E95F76" w:rsidRPr="00D76CEF">
        <w:t>karstic</w:t>
      </w:r>
      <w:proofErr w:type="spellEnd"/>
      <w:r w:rsidR="00E95F76" w:rsidRPr="00D76CEF">
        <w:t xml:space="preserve"> nature of the aquifer, precipitation that falls on the North and South Llano watersheds and recharges the aquifer, rather than following the hydrologic divide and discharging to the north, may instead, follow conduits within the rock and discharge to the south in the Nueces and Frio watersheds. Such a phenomena is referred to as ‘groundwater piracy’. </w:t>
      </w:r>
      <w:r w:rsidR="00E95F76" w:rsidRPr="00D76CEF">
        <w:rPr>
          <w:rStyle w:val="EndnoteReference"/>
        </w:rPr>
        <w:endnoteReference w:id="33"/>
      </w:r>
    </w:p>
    <w:p w:rsidR="007103DB" w:rsidRPr="00D76CEF" w:rsidRDefault="007103DB"/>
    <w:p w:rsidR="007103DB" w:rsidRPr="00D76CEF" w:rsidRDefault="007103DB" w:rsidP="007103DB">
      <w:r w:rsidRPr="00D76CEF">
        <w:t xml:space="preserve">Although based on sound hydrologic principles, estimates of the volume of water available in the Edwards-Trinity (Plateau) </w:t>
      </w:r>
      <w:r w:rsidR="00EB0792" w:rsidRPr="00D76CEF">
        <w:t>aquifer</w:t>
      </w:r>
      <w:r w:rsidRPr="00D76CEF">
        <w:t xml:space="preserve"> are rough estimates at best. Some of the basic components of the hydrological budget, which are integral to the ability to determine water availability within aquifers, are lacking. The TWDB currently estimates recharge in the basin between one and two percent of mean annual precipitation. </w:t>
      </w:r>
      <w:r w:rsidRPr="00D76CEF">
        <w:rPr>
          <w:rStyle w:val="EndnoteReference"/>
        </w:rPr>
        <w:endnoteReference w:id="34"/>
      </w:r>
      <w:r w:rsidRPr="00D76CEF">
        <w:t xml:space="preserve"> Because these recharge estimates are applied over large areas, any errors associated with the estimate can have a significant impact on estimates of water availability. Recent </w:t>
      </w:r>
      <w:r w:rsidR="00C25B4A" w:rsidRPr="00D76CEF">
        <w:t xml:space="preserve">water budget analyses for the Edwards Plateau predict that when precipitation </w:t>
      </w:r>
      <w:r w:rsidR="001F2FD0" w:rsidRPr="00D76CEF">
        <w:t xml:space="preserve">amounts approach </w:t>
      </w:r>
      <w:r w:rsidR="00C25B4A" w:rsidRPr="00D76CEF">
        <w:t xml:space="preserve">70 percent of average, recharge </w:t>
      </w:r>
      <w:r w:rsidR="001F2FD0" w:rsidRPr="00D76CEF">
        <w:t>becomes negligible.</w:t>
      </w:r>
      <w:r w:rsidR="001F2FD0" w:rsidRPr="00D76CEF">
        <w:rPr>
          <w:rStyle w:val="EndnoteReference"/>
        </w:rPr>
        <w:endnoteReference w:id="35"/>
      </w:r>
    </w:p>
    <w:p w:rsidR="007103DB" w:rsidRPr="00D76CEF" w:rsidRDefault="007103DB" w:rsidP="007103DB"/>
    <w:p w:rsidR="007103DB" w:rsidRPr="00D76CEF" w:rsidRDefault="007103DB" w:rsidP="007103DB">
      <w:r w:rsidRPr="00D76CEF">
        <w:t>Information on what the effect of a prolonged extreme drought would have on the flows of the</w:t>
      </w:r>
      <w:r w:rsidR="001F2FD0" w:rsidRPr="00D76CEF">
        <w:t xml:space="preserve"> North and</w:t>
      </w:r>
      <w:r w:rsidRPr="00D76CEF">
        <w:t xml:space="preserve"> South Llano River is also lacking.  Currently, the drought of the 1950s is considered the drought of record for </w:t>
      </w:r>
      <w:r w:rsidR="00D44B77">
        <w:t>the</w:t>
      </w:r>
      <w:r w:rsidRPr="00D76CEF">
        <w:t xml:space="preserve"> Edwards Plateau. Evidence from a report by Dr. Malcolm </w:t>
      </w:r>
      <w:proofErr w:type="spellStart"/>
      <w:r w:rsidRPr="00D76CEF">
        <w:t>Cleaveland</w:t>
      </w:r>
      <w:proofErr w:type="spellEnd"/>
      <w:r w:rsidRPr="00D76CEF">
        <w:t xml:space="preserve"> on tree ring data has shown that droughts during the 1100s and 1200s, while not as severe in terms of drought intensity, were more severe from the standpoint that the region was in drought conditions for approximately 40-50 years. Dr. </w:t>
      </w:r>
      <w:proofErr w:type="spellStart"/>
      <w:r w:rsidRPr="00D76CEF">
        <w:t>Cleaveland</w:t>
      </w:r>
      <w:proofErr w:type="spellEnd"/>
      <w:r w:rsidRPr="00D76CEF">
        <w:t xml:space="preserve"> notes, “</w:t>
      </w:r>
      <w:proofErr w:type="gramStart"/>
      <w:r w:rsidRPr="00D76CEF">
        <w:t>since</w:t>
      </w:r>
      <w:proofErr w:type="gramEnd"/>
      <w:r w:rsidRPr="00D76CEF">
        <w:t xml:space="preserve"> the world appears to be heading into a period of elevated temperatures…the possibility of experiencing drought similar to the 1100s and 1200s cannot be dismissed lightly”. </w:t>
      </w:r>
      <w:r w:rsidRPr="00D76CEF">
        <w:rPr>
          <w:rStyle w:val="EndnoteReference"/>
        </w:rPr>
        <w:endnoteReference w:id="36"/>
      </w:r>
      <w:r w:rsidRPr="00D76CEF">
        <w:t xml:space="preserve">  </w:t>
      </w:r>
    </w:p>
    <w:p w:rsidR="000C47D4" w:rsidRPr="00D76CEF" w:rsidRDefault="000C47D4"/>
    <w:p w:rsidR="000C47D4" w:rsidRPr="0045488E" w:rsidRDefault="000C47D4">
      <w:pPr>
        <w:pStyle w:val="Heading2"/>
        <w:rPr>
          <w:b/>
          <w:bCs/>
          <w:i w:val="0"/>
          <w:iCs w:val="0"/>
          <w:u w:val="single"/>
        </w:rPr>
      </w:pPr>
      <w:r w:rsidRPr="0045488E">
        <w:rPr>
          <w:b/>
          <w:bCs/>
          <w:i w:val="0"/>
          <w:iCs w:val="0"/>
          <w:u w:val="single"/>
        </w:rPr>
        <w:t>Water Use</w:t>
      </w:r>
    </w:p>
    <w:p w:rsidR="000C47D4" w:rsidRPr="00D76CEF" w:rsidRDefault="000C47D4"/>
    <w:p w:rsidR="000C47D4" w:rsidRPr="00D76CEF" w:rsidRDefault="000C47D4">
      <w:r w:rsidRPr="00D76CEF">
        <w:t xml:space="preserve">In order to utilize water from the </w:t>
      </w:r>
      <w:r w:rsidR="00171475" w:rsidRPr="00D76CEF">
        <w:t xml:space="preserve">North and </w:t>
      </w:r>
      <w:r w:rsidRPr="00D76CEF">
        <w:t xml:space="preserve">South Llano River, its tributaries, or any other river in the state, a water right is required from the Texas Commission on Environmental Quality (TCEQ) or its predecessor agencies. </w:t>
      </w:r>
      <w:r w:rsidR="00321EE0" w:rsidRPr="00D76CEF">
        <w:t xml:space="preserve">Water rights in the North Llano watershed have been issued since 1896; the total amount of water rights issued in the basin is 1,123 acre-feet per year </w:t>
      </w:r>
      <w:r w:rsidR="00321EE0" w:rsidRPr="00D76CEF">
        <w:rPr>
          <w:rStyle w:val="EndnoteReference"/>
        </w:rPr>
        <w:endnoteReference w:id="37"/>
      </w:r>
      <w:r w:rsidR="00321EE0" w:rsidRPr="00D76CEF">
        <w:t xml:space="preserve">, or less than 2 </w:t>
      </w:r>
      <w:proofErr w:type="spellStart"/>
      <w:r w:rsidR="00321EE0" w:rsidRPr="00D76CEF">
        <w:t>cfs</w:t>
      </w:r>
      <w:proofErr w:type="spellEnd"/>
      <w:r w:rsidR="00321EE0" w:rsidRPr="00D76CEF">
        <w:t xml:space="preserve">. </w:t>
      </w:r>
      <w:r w:rsidRPr="00D76CEF">
        <w:t>Water rights on the South Llano River have been issued since 1893</w:t>
      </w:r>
      <w:r w:rsidR="00321EE0" w:rsidRPr="00D76CEF">
        <w:t>, and</w:t>
      </w:r>
      <w:r w:rsidRPr="00D76CEF">
        <w:t xml:space="preserve"> total amount of water rights issued for the river and its tributaries is 3,665 acre-feet per year or about 5 </w:t>
      </w:r>
      <w:proofErr w:type="spellStart"/>
      <w:r w:rsidRPr="00D76CEF">
        <w:t>cfs</w:t>
      </w:r>
      <w:proofErr w:type="spellEnd"/>
      <w:r w:rsidRPr="00D76CEF">
        <w:t xml:space="preserve">. The largest water right holder is the City of Junction with a right to withdraw 1,000 acre-feet per year or 1.4 </w:t>
      </w:r>
      <w:proofErr w:type="spellStart"/>
      <w:r w:rsidRPr="00D76CEF">
        <w:t>cfs</w:t>
      </w:r>
      <w:proofErr w:type="spellEnd"/>
      <w:r w:rsidRPr="00D76CEF">
        <w:t xml:space="preserve">. With the exception of about 100 acre-feet per year for mining purposes, the rest of the water rights on the </w:t>
      </w:r>
      <w:r w:rsidR="00321EE0" w:rsidRPr="00D76CEF">
        <w:t xml:space="preserve">North and </w:t>
      </w:r>
      <w:r w:rsidRPr="00D76CEF">
        <w:t xml:space="preserve">South Llano are for irrigation. </w:t>
      </w:r>
    </w:p>
    <w:p w:rsidR="000C47D4" w:rsidRPr="00D76CEF" w:rsidRDefault="000C47D4"/>
    <w:p w:rsidR="000C47D4" w:rsidRPr="00D76CEF" w:rsidRDefault="008A1214">
      <w:r w:rsidRPr="00D76CEF">
        <w:t>In 2009</w:t>
      </w:r>
      <w:r w:rsidR="000C47D4" w:rsidRPr="00D76CEF">
        <w:t xml:space="preserve">, the City of Junction used </w:t>
      </w:r>
      <w:r w:rsidRPr="00D76CEF">
        <w:t>about 615 acre-feet or about 204</w:t>
      </w:r>
      <w:r w:rsidR="000C47D4" w:rsidRPr="00D76CEF">
        <w:t xml:space="preserve"> gallons per person per day. Since 1964, the highest recorded use by the City is 963 acre-feet during 1993. This equates to 310 gallons per person per day. While permitted irrig</w:t>
      </w:r>
      <w:r w:rsidR="002A5016" w:rsidRPr="00D76CEF">
        <w:t>ation rights total more than 3,6</w:t>
      </w:r>
      <w:r w:rsidR="000C47D4" w:rsidRPr="00D76CEF">
        <w:t xml:space="preserve">00 acre-feet, it appears that only a fraction of this amount is currently being utilized in the </w:t>
      </w:r>
      <w:r w:rsidR="00B83C2D">
        <w:t xml:space="preserve">North and South </w:t>
      </w:r>
      <w:r w:rsidR="000C47D4" w:rsidRPr="00D76CEF">
        <w:t>Llano watershed</w:t>
      </w:r>
      <w:r w:rsidR="002A5016" w:rsidRPr="00D76CEF">
        <w:t>s</w:t>
      </w:r>
      <w:r w:rsidR="000C47D4" w:rsidRPr="00D76CEF">
        <w:t>. Through field observations during t</w:t>
      </w:r>
      <w:r w:rsidR="00943004" w:rsidRPr="00D76CEF">
        <w:t>he summer of 2011</w:t>
      </w:r>
      <w:r w:rsidR="000C47D4" w:rsidRPr="00D76CEF">
        <w:t xml:space="preserve">, </w:t>
      </w:r>
      <w:r w:rsidR="00943004" w:rsidRPr="00D76CEF">
        <w:t>an estimated 400 to 4</w:t>
      </w:r>
      <w:r w:rsidR="000C47D4" w:rsidRPr="00D76CEF">
        <w:t>50 acres are currently irrigated in the basin</w:t>
      </w:r>
      <w:r w:rsidR="00943004" w:rsidRPr="00D76CEF">
        <w:t xml:space="preserve"> for grass, hay, and orchards</w:t>
      </w:r>
      <w:r w:rsidR="000C47D4" w:rsidRPr="00D76CEF">
        <w:t>. Water is also withdrawn for domestic and livestock use. These uses generally do not require a water right and the total use is relatively small.</w:t>
      </w:r>
      <w:r w:rsidR="0078645B" w:rsidRPr="00D76CEF">
        <w:t xml:space="preserve"> Surface water irrigation was suspended in late June of 2011, when the City of Llano, a senior downstream water right holder requested a priority call on water, meaning all non-municipal rights be curtailed.</w:t>
      </w:r>
    </w:p>
    <w:p w:rsidR="000C47D4" w:rsidRPr="00D76CEF" w:rsidRDefault="000C47D4"/>
    <w:p w:rsidR="00290901" w:rsidRPr="00D76CEF" w:rsidRDefault="000C47D4">
      <w:r w:rsidRPr="00D76CEF">
        <w:t xml:space="preserve">Because much of the flow from the South Llano River comes from spring flow, the use of the groundwater that feeds these springs is an important consideration. The largest groundwater user in the basin is the City of Rocksprings, located on the watershed divide of </w:t>
      </w:r>
      <w:r w:rsidR="005777E5" w:rsidRPr="00D76CEF">
        <w:t>the South Llano. In 2009</w:t>
      </w:r>
      <w:r w:rsidRPr="00D76CEF">
        <w:t>, Rocksprings pumped 2</w:t>
      </w:r>
      <w:r w:rsidR="005777E5" w:rsidRPr="00D76CEF">
        <w:t>00</w:t>
      </w:r>
      <w:r w:rsidR="00C824FC" w:rsidRPr="00D76CEF">
        <w:t xml:space="preserve"> </w:t>
      </w:r>
      <w:r w:rsidRPr="00D76CEF">
        <w:t>acre-feet from wells in the Edwards-T</w:t>
      </w:r>
      <w:r w:rsidR="005777E5" w:rsidRPr="00D76CEF">
        <w:t>rinity (Plateau) aquifer, or 136</w:t>
      </w:r>
      <w:r w:rsidRPr="00D76CEF">
        <w:t xml:space="preserve"> gallons per person.</w:t>
      </w:r>
      <w:r w:rsidR="005777E5" w:rsidRPr="00D76CEF">
        <w:rPr>
          <w:rStyle w:val="EndnoteReference"/>
        </w:rPr>
        <w:endnoteReference w:id="38"/>
      </w:r>
      <w:r w:rsidRPr="00D76CEF">
        <w:t xml:space="preserve"> During 1996, the City pumped nearly 300 acre-feet. While most wells in the area that draw from the Edwards-Trinity (Plateau) aquifer generally yield less than 30 gallons per minute, </w:t>
      </w:r>
      <w:r w:rsidRPr="00D76CEF">
        <w:rPr>
          <w:rStyle w:val="EndnoteReference"/>
        </w:rPr>
        <w:endnoteReference w:id="39"/>
      </w:r>
      <w:r w:rsidRPr="00D76CEF">
        <w:t xml:space="preserve"> some of the City of Rocksprings wells yield greater than 500 gallons per minute. </w:t>
      </w:r>
      <w:r w:rsidRPr="00D76CEF">
        <w:rPr>
          <w:rStyle w:val="EndnoteReference"/>
        </w:rPr>
        <w:endnoteReference w:id="40"/>
      </w:r>
      <w:r w:rsidR="00E54CD8" w:rsidRPr="00D76CEF">
        <w:t xml:space="preserve"> </w:t>
      </w:r>
      <w:r w:rsidR="00F91A1C" w:rsidRPr="00D76CEF">
        <w:t xml:space="preserve">The largest use of water groundwater in Edwards and Real Counties is for livestock and native and exotic game. </w:t>
      </w:r>
      <w:r w:rsidR="00F91A1C" w:rsidRPr="00D76CEF">
        <w:rPr>
          <w:rStyle w:val="EndnoteReference"/>
        </w:rPr>
        <w:endnoteReference w:id="41"/>
      </w:r>
    </w:p>
    <w:p w:rsidR="007103DB" w:rsidRPr="00D76CEF" w:rsidRDefault="007103DB" w:rsidP="00E354A7"/>
    <w:p w:rsidR="007103DB" w:rsidRPr="00D76CEF" w:rsidRDefault="00290901" w:rsidP="00E354A7">
      <w:r w:rsidRPr="00D76CEF">
        <w:t>One uncertainty related to the use of water resources is the use of water f</w:t>
      </w:r>
      <w:r w:rsidR="00813F7E" w:rsidRPr="00D76CEF">
        <w:t>or hydraulic fracturing, or ‘</w:t>
      </w:r>
      <w:proofErr w:type="spellStart"/>
      <w:r w:rsidR="00813F7E" w:rsidRPr="00D76CEF">
        <w:t>fracking</w:t>
      </w:r>
      <w:proofErr w:type="spellEnd"/>
      <w:r w:rsidR="00813F7E" w:rsidRPr="00D76CEF">
        <w:t xml:space="preserve">’. The </w:t>
      </w:r>
      <w:r w:rsidR="00B83C2D">
        <w:t xml:space="preserve">North and South </w:t>
      </w:r>
      <w:r w:rsidR="00813F7E" w:rsidRPr="00D76CEF">
        <w:t>Llano watershed</w:t>
      </w:r>
      <w:r w:rsidR="00B83C2D">
        <w:t>s</w:t>
      </w:r>
      <w:r w:rsidR="00813F7E" w:rsidRPr="00D76CEF">
        <w:t xml:space="preserve"> lies within the Barnett-Woodford Shale </w:t>
      </w:r>
      <w:r w:rsidR="0059233D" w:rsidRPr="00D76CEF">
        <w:t xml:space="preserve">play. To date, more than 10,000 gas natural gas wells </w:t>
      </w:r>
      <w:r w:rsidR="00306ABC">
        <w:t xml:space="preserve">have been </w:t>
      </w:r>
      <w:r w:rsidR="0059233D" w:rsidRPr="00D76CEF">
        <w:t xml:space="preserve">drilled in Sutton, Edwards, and Kimble County. Not all of these wells are in </w:t>
      </w:r>
      <w:r w:rsidR="00B83C2D">
        <w:t>headwater watersheds of the Llano</w:t>
      </w:r>
      <w:r w:rsidR="0059233D" w:rsidRPr="00D76CEF">
        <w:t xml:space="preserve"> and not</w:t>
      </w:r>
      <w:r w:rsidR="00E354A7" w:rsidRPr="00D76CEF">
        <w:t xml:space="preserve"> all of these wells are </w:t>
      </w:r>
      <w:proofErr w:type="spellStart"/>
      <w:r w:rsidR="00E354A7" w:rsidRPr="00D76CEF">
        <w:t>fracked</w:t>
      </w:r>
      <w:proofErr w:type="spellEnd"/>
      <w:r w:rsidR="00E354A7" w:rsidRPr="00D76CEF">
        <w:t xml:space="preserve">. </w:t>
      </w:r>
      <w:r w:rsidR="0059233D" w:rsidRPr="00D76CEF">
        <w:t xml:space="preserve">However, the amount of water used to </w:t>
      </w:r>
      <w:proofErr w:type="spellStart"/>
      <w:r w:rsidR="0059233D" w:rsidRPr="00D76CEF">
        <w:t>frack</w:t>
      </w:r>
      <w:proofErr w:type="spellEnd"/>
      <w:r w:rsidR="0059233D" w:rsidRPr="00D76CEF">
        <w:t xml:space="preserve"> one well is often greater than one million gallons. Up until February 1</w:t>
      </w:r>
      <w:r w:rsidR="0059233D" w:rsidRPr="00D76CEF">
        <w:rPr>
          <w:vertAlign w:val="superscript"/>
        </w:rPr>
        <w:t>st</w:t>
      </w:r>
      <w:r w:rsidR="0059233D" w:rsidRPr="00D76CEF">
        <w:t xml:space="preserve">, 2012, the amount of water used to </w:t>
      </w:r>
      <w:proofErr w:type="spellStart"/>
      <w:r w:rsidR="0059233D" w:rsidRPr="00D76CEF">
        <w:t>frack</w:t>
      </w:r>
      <w:proofErr w:type="spellEnd"/>
      <w:r w:rsidR="0059233D" w:rsidRPr="00D76CEF">
        <w:t xml:space="preserve"> a well and the chemicals used in the </w:t>
      </w:r>
      <w:proofErr w:type="spellStart"/>
      <w:r w:rsidR="0059233D" w:rsidRPr="00D76CEF">
        <w:t>fracking</w:t>
      </w:r>
      <w:proofErr w:type="spellEnd"/>
      <w:r w:rsidR="0059233D" w:rsidRPr="00D76CEF">
        <w:t xml:space="preserve"> fluid did not have to be disclosed.</w:t>
      </w:r>
      <w:r w:rsidR="00E354A7" w:rsidRPr="00D76CEF">
        <w:t xml:space="preserve"> </w:t>
      </w:r>
    </w:p>
    <w:p w:rsidR="0059233D" w:rsidRPr="00D76CEF" w:rsidRDefault="0059233D"/>
    <w:p w:rsidR="000C47D4" w:rsidRPr="00D76CEF" w:rsidRDefault="000C47D4">
      <w:r w:rsidRPr="00D76CEF">
        <w:t xml:space="preserve">There are also other important considerations regarding water use in the </w:t>
      </w:r>
      <w:r w:rsidR="0078645B" w:rsidRPr="00D76CEF">
        <w:t xml:space="preserve">North and </w:t>
      </w:r>
      <w:r w:rsidRPr="00D76CEF">
        <w:t>South Llano watershed</w:t>
      </w:r>
      <w:r w:rsidR="0078645B" w:rsidRPr="00D76CEF">
        <w:t>s</w:t>
      </w:r>
      <w:r w:rsidRPr="00D76CEF">
        <w:t xml:space="preserve">. As previously mentioned, the flows of the South Llano maintain much of the flows to the </w:t>
      </w:r>
      <w:proofErr w:type="spellStart"/>
      <w:r w:rsidRPr="00D76CEF">
        <w:t>mainstem</w:t>
      </w:r>
      <w:proofErr w:type="spellEnd"/>
      <w:r w:rsidRPr="00D76CEF">
        <w:t xml:space="preserve"> of the Llano River. Several downstream irrigators rely on adequate flows from the river, as does the City of Llano, which relies solely on the Llano River for its water supply. The Llano River also supplies water to the Highland Lakes, a critical supply not only for downstream municipalities and irrigators, but also for aquatic species that rely on adequate flows within the river and into Matagorda Bay. On average, the Llano River provides about 27 percent of the flow into these reservoirs.  However, during periods of drought, such as the summer of 2006, the Llano River contributes approximately 75 percent of the inflow to the reservoirs.</w:t>
      </w:r>
      <w:r w:rsidRPr="00D76CEF">
        <w:rPr>
          <w:rStyle w:val="EndnoteReference"/>
        </w:rPr>
        <w:endnoteReference w:id="42"/>
      </w:r>
    </w:p>
    <w:p w:rsidR="000C47D4" w:rsidRPr="00D76CEF" w:rsidRDefault="000C47D4"/>
    <w:p w:rsidR="000C47D4" w:rsidRPr="0045488E" w:rsidRDefault="000C47D4">
      <w:pPr>
        <w:pStyle w:val="Heading2"/>
        <w:rPr>
          <w:b/>
          <w:bCs/>
          <w:i w:val="0"/>
          <w:iCs w:val="0"/>
          <w:u w:val="single"/>
        </w:rPr>
      </w:pPr>
      <w:r w:rsidRPr="0045488E">
        <w:rPr>
          <w:b/>
          <w:bCs/>
          <w:i w:val="0"/>
          <w:iCs w:val="0"/>
          <w:u w:val="single"/>
        </w:rPr>
        <w:t>Water Quality</w:t>
      </w:r>
    </w:p>
    <w:p w:rsidR="000C47D4" w:rsidRPr="00D76CEF" w:rsidRDefault="000C47D4"/>
    <w:p w:rsidR="00095206" w:rsidRPr="00D76CEF" w:rsidRDefault="000C47D4">
      <w:r w:rsidRPr="00D76CEF">
        <w:t xml:space="preserve">The spring-fed waters of the </w:t>
      </w:r>
      <w:r w:rsidR="00766624" w:rsidRPr="00D76CEF">
        <w:t xml:space="preserve">North and </w:t>
      </w:r>
      <w:r w:rsidRPr="00D76CEF">
        <w:t>South Llano River consistently have good water quality. There are no po</w:t>
      </w:r>
      <w:r w:rsidR="00766624" w:rsidRPr="00D76CEF">
        <w:t xml:space="preserve">int sources of pollution on either river, </w:t>
      </w:r>
      <w:r w:rsidRPr="00D76CEF">
        <w:t xml:space="preserve">such as industrial outfalls or wastewater discharge facilities. There is some potential, however, for non-point sources of pollution from agricultural runoff or septic systems. Both the TCEQ and the Lower Colorado River Authority (LCRA) maintain monitoring programs on the river.  </w:t>
      </w:r>
    </w:p>
    <w:p w:rsidR="00095206" w:rsidRPr="00D76CEF" w:rsidRDefault="00095206"/>
    <w:p w:rsidR="00D40B5E" w:rsidRPr="00D76CEF" w:rsidRDefault="00F92076" w:rsidP="001B1320">
      <w:r w:rsidRPr="00D76CEF">
        <w:t xml:space="preserve">E-Coli bacteria in water may result from livestock and wildlife near water or from failing septic tanks. </w:t>
      </w:r>
      <w:r w:rsidR="000C47D4" w:rsidRPr="00D76CEF">
        <w:t>E-Coli bacter</w:t>
      </w:r>
      <w:r w:rsidR="00F624CB" w:rsidRPr="00D76CEF">
        <w:t>ia have been detected at the three</w:t>
      </w:r>
      <w:r w:rsidR="000C47D4" w:rsidRPr="00D76CEF">
        <w:t xml:space="preserve"> sites where it is measured, the Llano River at Ju</w:t>
      </w:r>
      <w:r w:rsidR="00F624CB" w:rsidRPr="00D76CEF">
        <w:t>nction gauge (Site 17471),</w:t>
      </w:r>
      <w:r w:rsidR="000C47D4" w:rsidRPr="00D76CEF">
        <w:t xml:space="preserve"> a location on the South Llano in Edwards County above the major springs (Site 16701)</w:t>
      </w:r>
      <w:r w:rsidR="00F624CB" w:rsidRPr="00D76CEF">
        <w:t>, a location on the North Llano River 570 feet above the confluence with the South Llano River (Site 17425)</w:t>
      </w:r>
      <w:r w:rsidR="000C47D4" w:rsidRPr="00D76CEF">
        <w:t xml:space="preserve">. </w:t>
      </w:r>
      <w:r w:rsidR="000C47D4" w:rsidRPr="00D76CEF">
        <w:rPr>
          <w:rStyle w:val="EndnoteReference"/>
        </w:rPr>
        <w:endnoteReference w:id="43"/>
      </w:r>
      <w:r w:rsidR="00F2713C" w:rsidRPr="00D76CEF">
        <w:t xml:space="preserve"> </w:t>
      </w:r>
      <w:r w:rsidR="00973B45" w:rsidRPr="00D76CEF">
        <w:t xml:space="preserve">Two of the 50 measurements taken </w:t>
      </w:r>
      <w:r w:rsidR="000C47D4" w:rsidRPr="00D76CEF">
        <w:t>at the Llano River at Junction gauge</w:t>
      </w:r>
      <w:r w:rsidR="00F624CB" w:rsidRPr="00D76CEF">
        <w:t xml:space="preserve"> and one </w:t>
      </w:r>
      <w:r w:rsidR="00306ABC">
        <w:t xml:space="preserve">of </w:t>
      </w:r>
      <w:r w:rsidR="00973B45" w:rsidRPr="00D76CEF">
        <w:t>t</w:t>
      </w:r>
      <w:r w:rsidR="00F624CB" w:rsidRPr="00D76CEF">
        <w:t xml:space="preserve">he </w:t>
      </w:r>
      <w:r w:rsidR="00973B45" w:rsidRPr="00D76CEF">
        <w:t xml:space="preserve">36 measurements taken on </w:t>
      </w:r>
      <w:r w:rsidR="00F624CB" w:rsidRPr="00D76CEF">
        <w:t>North Llano River site</w:t>
      </w:r>
      <w:r w:rsidR="000C47D4" w:rsidRPr="00D76CEF">
        <w:t xml:space="preserve"> detected E-Coli bacteria at levels exceeding the Environmental Protection Agency’s recommended level for moderate f</w:t>
      </w:r>
      <w:r w:rsidR="00905E74" w:rsidRPr="00D76CEF">
        <w:t>ull body contact recreation (394</w:t>
      </w:r>
      <w:r w:rsidR="000C47D4" w:rsidRPr="00D76CEF">
        <w:t xml:space="preserve"> E-coli per 100 milliliters). </w:t>
      </w:r>
      <w:r w:rsidR="00364AF3" w:rsidRPr="00D76CEF">
        <w:t>All</w:t>
      </w:r>
      <w:r w:rsidR="00905E74" w:rsidRPr="00D76CEF">
        <w:t xml:space="preserve"> of these measurements </w:t>
      </w:r>
      <w:r w:rsidR="000C47D4" w:rsidRPr="00D76CEF">
        <w:t>were obtained following precipitation events that occurr</w:t>
      </w:r>
      <w:r w:rsidR="00364AF3" w:rsidRPr="00D76CEF">
        <w:t>ed after an extended dry period</w:t>
      </w:r>
      <w:r w:rsidR="000C47D4" w:rsidRPr="00D76CEF">
        <w:t>.</w:t>
      </w:r>
      <w:r w:rsidR="00F24413" w:rsidRPr="00D76CEF">
        <w:t xml:space="preserve"> A water</w:t>
      </w:r>
      <w:r w:rsidR="00FF35DE" w:rsidRPr="00D76CEF">
        <w:t xml:space="preserve"> </w:t>
      </w:r>
      <w:r w:rsidR="00F24413" w:rsidRPr="00D76CEF">
        <w:t xml:space="preserve">body is considered impaired for E-coli only if 25 percent of the samples exceed the recommended level. None of the waterways in the </w:t>
      </w:r>
      <w:r w:rsidR="00B83C2D">
        <w:t>North and South Llano watersheds</w:t>
      </w:r>
      <w:r w:rsidR="00F24413" w:rsidRPr="00D76CEF">
        <w:t xml:space="preserve"> are considered impa</w:t>
      </w:r>
      <w:r w:rsidR="00FF35DE" w:rsidRPr="00D76CEF">
        <w:t>i</w:t>
      </w:r>
      <w:r w:rsidR="00F24413" w:rsidRPr="00D76CEF">
        <w:t>red.</w:t>
      </w:r>
      <w:r w:rsidR="00264F07" w:rsidRPr="00D76CEF">
        <w:rPr>
          <w:rStyle w:val="EndnoteReference"/>
        </w:rPr>
        <w:endnoteReference w:id="44"/>
      </w:r>
      <w:r w:rsidR="001B1320" w:rsidRPr="00D76CEF">
        <w:t xml:space="preserve"> </w:t>
      </w:r>
    </w:p>
    <w:p w:rsidR="00D40B5E" w:rsidRPr="00D76CEF" w:rsidRDefault="00D40B5E" w:rsidP="001B1320"/>
    <w:p w:rsidR="001B1320" w:rsidRPr="00D76CEF" w:rsidRDefault="001B1320" w:rsidP="001B1320">
      <w:r w:rsidRPr="00D76CEF">
        <w:t xml:space="preserve">Nitrate-nitrogen tests can also be used to test for possible pollution from livestock or septic systems. </w:t>
      </w:r>
      <w:proofErr w:type="gramStart"/>
      <w:r w:rsidR="00F91A1C" w:rsidRPr="00D76CEF">
        <w:t xml:space="preserve">All </w:t>
      </w:r>
      <w:r w:rsidR="00D40B5E" w:rsidRPr="00D76CEF">
        <w:t>me</w:t>
      </w:r>
      <w:r w:rsidR="000466C3" w:rsidRPr="00D76CEF">
        <w:t>asurements taken on the North and</w:t>
      </w:r>
      <w:r w:rsidR="00D40B5E" w:rsidRPr="00D76CEF">
        <w:t xml:space="preserve"> South Llano River</w:t>
      </w:r>
      <w:r w:rsidR="00F91A1C" w:rsidRPr="00D76CEF">
        <w:t xml:space="preserve"> record </w:t>
      </w:r>
      <w:r w:rsidR="00D40B5E" w:rsidRPr="00D76CEF">
        <w:t>nitrate-nitrogen readings below the screen</w:t>
      </w:r>
      <w:r w:rsidR="00025BF1" w:rsidRPr="00D76CEF">
        <w:t>ing level of 1.95 mg/L.</w:t>
      </w:r>
      <w:proofErr w:type="gramEnd"/>
      <w:r w:rsidR="00025BF1" w:rsidRPr="00D76CEF">
        <w:t xml:space="preserve"> O</w:t>
      </w:r>
      <w:r w:rsidR="00E25EBC" w:rsidRPr="00D76CEF">
        <w:t>nly one measurement on the Ll</w:t>
      </w:r>
      <w:r w:rsidR="00025BF1" w:rsidRPr="00D76CEF">
        <w:t>ano River at Junction gauge has exceeded this level; t</w:t>
      </w:r>
      <w:r w:rsidR="00E25EBC" w:rsidRPr="00D76CEF">
        <w:t>his measurement was taken in 2002.</w:t>
      </w:r>
      <w:r w:rsidR="00E25EBC" w:rsidRPr="00D76CEF">
        <w:rPr>
          <w:rStyle w:val="EndnoteReference"/>
        </w:rPr>
        <w:endnoteReference w:id="45"/>
      </w:r>
    </w:p>
    <w:p w:rsidR="000C47D4" w:rsidRPr="00D76CEF" w:rsidRDefault="000C47D4"/>
    <w:p w:rsidR="00033A2D" w:rsidRPr="00D76CEF" w:rsidRDefault="000C47D4">
      <w:r w:rsidRPr="00D76CEF">
        <w:t xml:space="preserve">Dissolved oxygen (DO) is also a measure of health of the river. Exceedingly high or low levels of DO may suggest the presence of algae blooms, possibly caused by an increase in nutrients reaching the river. </w:t>
      </w:r>
      <w:r w:rsidRPr="00D76CEF">
        <w:rPr>
          <w:rStyle w:val="EndnoteReference"/>
        </w:rPr>
        <w:endnoteReference w:id="46"/>
      </w:r>
      <w:r w:rsidRPr="00D76CEF">
        <w:t xml:space="preserve"> High dissolved oxygen (&gt;10) has been observed at Site 16701 above the springs, where flows are usually less than 5 cubic feet per second. </w:t>
      </w:r>
      <w:r w:rsidRPr="00D76CEF">
        <w:rPr>
          <w:rStyle w:val="EndnoteReference"/>
        </w:rPr>
        <w:endnoteReference w:id="47"/>
      </w:r>
      <w:r w:rsidRPr="00D76CEF">
        <w:t xml:space="preserve"> Elsewhere on the South Llano, DO levels suggest good aquatic habitat </w:t>
      </w:r>
      <w:proofErr w:type="gramStart"/>
      <w:r w:rsidRPr="00D76CEF">
        <w:t>conditions.</w:t>
      </w:r>
      <w:proofErr w:type="gramEnd"/>
      <w:r w:rsidRPr="00D76CEF">
        <w:t xml:space="preserve"> </w:t>
      </w:r>
      <w:r w:rsidR="00033A2D" w:rsidRPr="00D76CEF">
        <w:t xml:space="preserve">High </w:t>
      </w:r>
      <w:r w:rsidR="0039030F" w:rsidRPr="00D76CEF">
        <w:t>dissolved oxygen</w:t>
      </w:r>
      <w:r w:rsidR="00033A2D" w:rsidRPr="00D76CEF">
        <w:t xml:space="preserve"> is measured in about 23 percent of all m</w:t>
      </w:r>
      <w:r w:rsidR="00025BF1" w:rsidRPr="00D76CEF">
        <w:t>easurements on the North Llano and 19 percent of all measurements on the Llano River at Junction gauge.</w:t>
      </w:r>
    </w:p>
    <w:p w:rsidR="000C47D4" w:rsidRPr="00D76CEF" w:rsidRDefault="000C47D4"/>
    <w:p w:rsidR="00711F11" w:rsidRPr="00D76CEF" w:rsidRDefault="000C47D4">
      <w:r w:rsidRPr="00D76CEF">
        <w:t xml:space="preserve">Groundwater wells located in the study area tend to have hard water as a result of the limestone. A few wells in the area also have elevated levels of nitrates, possibly resulting from poor well location and construction, agricultural runoff or inadequate septic systems. Of the wells sampled </w:t>
      </w:r>
      <w:r w:rsidR="00E77666" w:rsidRPr="00D76CEF">
        <w:t xml:space="preserve">in the </w:t>
      </w:r>
      <w:r w:rsidR="005668F1" w:rsidRPr="00D76CEF">
        <w:t>North Llano</w:t>
      </w:r>
      <w:r w:rsidR="00E77666" w:rsidRPr="00D76CEF">
        <w:t xml:space="preserve"> watersh</w:t>
      </w:r>
      <w:r w:rsidR="00CF48A3" w:rsidRPr="00D76CEF">
        <w:t>e</w:t>
      </w:r>
      <w:r w:rsidR="00E77666" w:rsidRPr="00D76CEF">
        <w:t>d</w:t>
      </w:r>
      <w:r w:rsidR="00822ED6" w:rsidRPr="00D76CEF">
        <w:t>, nin</w:t>
      </w:r>
      <w:r w:rsidR="005668F1" w:rsidRPr="00D76CEF">
        <w:t>e</w:t>
      </w:r>
      <w:r w:rsidRPr="00D76CEF">
        <w:t xml:space="preserve"> have, or have had, nitrate levels in excess of the recommended drinking water standards of 10 milligrams per liter. </w:t>
      </w:r>
      <w:r w:rsidR="00822ED6" w:rsidRPr="00D76CEF">
        <w:t xml:space="preserve">Four such wells are located in the South Llano watershed. </w:t>
      </w:r>
      <w:r w:rsidRPr="00D76CEF">
        <w:rPr>
          <w:rStyle w:val="EndnoteReference"/>
        </w:rPr>
        <w:endnoteReference w:id="48"/>
      </w:r>
      <w:r w:rsidRPr="00D76CEF">
        <w:t xml:space="preserve"> </w:t>
      </w:r>
    </w:p>
    <w:p w:rsidR="000928B8" w:rsidRPr="00D76CEF" w:rsidRDefault="000928B8">
      <w:pPr>
        <w:pStyle w:val="Heading1"/>
        <w:rPr>
          <w:b w:val="0"/>
          <w:bCs w:val="0"/>
        </w:rPr>
      </w:pPr>
    </w:p>
    <w:p w:rsidR="000C47D4" w:rsidRPr="00CC6E80" w:rsidRDefault="00CC6E80">
      <w:pPr>
        <w:pStyle w:val="Heading1"/>
        <w:rPr>
          <w:rFonts w:ascii="Arial" w:hAnsi="Arial"/>
          <w:sz w:val="32"/>
        </w:rPr>
      </w:pPr>
      <w:r w:rsidRPr="00CC6E80">
        <w:rPr>
          <w:rFonts w:ascii="Arial" w:hAnsi="Arial"/>
          <w:sz w:val="32"/>
        </w:rPr>
        <w:t>Habitats</w:t>
      </w:r>
    </w:p>
    <w:p w:rsidR="000C47D4" w:rsidRPr="00D76CEF" w:rsidRDefault="000C47D4"/>
    <w:p w:rsidR="000C47D4" w:rsidRPr="00D76CEF" w:rsidRDefault="000C47D4">
      <w:r w:rsidRPr="00D76CEF">
        <w:t xml:space="preserve">In addition to being an important water resource, the </w:t>
      </w:r>
      <w:r w:rsidR="00C029F5" w:rsidRPr="00D76CEF">
        <w:t xml:space="preserve">North and </w:t>
      </w:r>
      <w:r w:rsidRPr="00D76CEF">
        <w:t>South Llano River and its watershed</w:t>
      </w:r>
      <w:r w:rsidR="00C029F5" w:rsidRPr="00D76CEF">
        <w:t>s</w:t>
      </w:r>
      <w:r w:rsidRPr="00D76CEF">
        <w:t xml:space="preserve"> provide </w:t>
      </w:r>
      <w:r w:rsidR="00332507" w:rsidRPr="00D76CEF">
        <w:t xml:space="preserve">important and unique aquatic, terrestrial, and riparian </w:t>
      </w:r>
      <w:r w:rsidRPr="00D76CEF">
        <w:t>habitats. These habitats play a crucial role in the biological diversity and recreational opportunities of the area.</w:t>
      </w:r>
    </w:p>
    <w:p w:rsidR="000C47D4" w:rsidRPr="00D76CEF" w:rsidRDefault="000C47D4"/>
    <w:p w:rsidR="000C47D4" w:rsidRPr="00D76CEF" w:rsidRDefault="000C47D4">
      <w:pPr>
        <w:pStyle w:val="Heading2"/>
        <w:rPr>
          <w:b/>
          <w:bCs/>
          <w:i w:val="0"/>
          <w:iCs w:val="0"/>
          <w:u w:val="single"/>
        </w:rPr>
      </w:pPr>
      <w:r w:rsidRPr="00D76CEF">
        <w:rPr>
          <w:b/>
          <w:bCs/>
          <w:i w:val="0"/>
          <w:iCs w:val="0"/>
          <w:u w:val="single"/>
        </w:rPr>
        <w:t>Aquatic</w:t>
      </w:r>
    </w:p>
    <w:p w:rsidR="000C47D4" w:rsidRPr="00D76CEF" w:rsidRDefault="000C47D4"/>
    <w:p w:rsidR="00715DF9" w:rsidRPr="00D76CEF" w:rsidRDefault="000C47D4">
      <w:pPr>
        <w:ind w:right="180"/>
      </w:pPr>
      <w:r w:rsidRPr="00D76CEF">
        <w:t xml:space="preserve">The </w:t>
      </w:r>
      <w:r w:rsidR="004811D3" w:rsidRPr="00D76CEF">
        <w:t xml:space="preserve">North and </w:t>
      </w:r>
      <w:r w:rsidRPr="00D76CEF">
        <w:t>South Llano River provides some unique aquatic habitat</w:t>
      </w:r>
      <w:r w:rsidR="00715DF9" w:rsidRPr="00D76CEF">
        <w:t xml:space="preserve"> for a variety of species</w:t>
      </w:r>
      <w:r w:rsidRPr="00D76CEF">
        <w:t xml:space="preserve">. </w:t>
      </w:r>
      <w:r w:rsidR="0062363E" w:rsidRPr="00D76CEF">
        <w:t xml:space="preserve">One of the most </w:t>
      </w:r>
      <w:r w:rsidR="00715DF9" w:rsidRPr="00D76CEF">
        <w:t>notable</w:t>
      </w:r>
      <w:r w:rsidR="0062363E" w:rsidRPr="00D76CEF">
        <w:t xml:space="preserve"> species is the Guada</w:t>
      </w:r>
      <w:r w:rsidR="005221D0" w:rsidRPr="00D76CEF">
        <w:t>lupe Bass,</w:t>
      </w:r>
      <w:r w:rsidR="000928B8" w:rsidRPr="00D76CEF">
        <w:t xml:space="preserve"> the Texas state fish and a </w:t>
      </w:r>
      <w:r w:rsidR="005221D0" w:rsidRPr="00D76CEF">
        <w:t xml:space="preserve">Species of Concern, meaning that the species is at potential risk due to its hybridization with other bass species. </w:t>
      </w:r>
      <w:r w:rsidR="0062363E" w:rsidRPr="00D76CEF">
        <w:t xml:space="preserve"> </w:t>
      </w:r>
      <w:r w:rsidR="004811D3" w:rsidRPr="00D76CEF">
        <w:t xml:space="preserve">Until recently, the South Llano River was believed to be the only major watershed containing </w:t>
      </w:r>
      <w:r w:rsidRPr="00D76CEF">
        <w:t xml:space="preserve">a genetically pure </w:t>
      </w:r>
      <w:r w:rsidR="0062363E" w:rsidRPr="00D76CEF">
        <w:t xml:space="preserve">population of Guadalupe Bass. However, recent </w:t>
      </w:r>
      <w:r w:rsidR="00715DF9" w:rsidRPr="00D76CEF">
        <w:t xml:space="preserve">sampling has revealed that about </w:t>
      </w:r>
      <w:r w:rsidR="00B37E65" w:rsidRPr="00D76CEF">
        <w:t>3</w:t>
      </w:r>
      <w:r w:rsidR="00715DF9" w:rsidRPr="00D76CEF">
        <w:t xml:space="preserve"> percent of the population has hybridized with non-native smallmouth bass</w:t>
      </w:r>
      <w:r w:rsidR="00B37E65" w:rsidRPr="00D76CEF">
        <w:t xml:space="preserve"> and large</w:t>
      </w:r>
      <w:r w:rsidR="00652146" w:rsidRPr="00D76CEF">
        <w:t xml:space="preserve">mouth </w:t>
      </w:r>
      <w:r w:rsidR="00B37E65" w:rsidRPr="00D76CEF">
        <w:t>bass;</w:t>
      </w:r>
      <w:r w:rsidR="00715DF9" w:rsidRPr="00D76CEF">
        <w:t xml:space="preserve"> </w:t>
      </w:r>
      <w:r w:rsidR="00B37E65" w:rsidRPr="00D76CEF">
        <w:rPr>
          <w:rStyle w:val="EndnoteReference"/>
        </w:rPr>
        <w:endnoteReference w:id="49"/>
      </w:r>
      <w:r w:rsidR="00B37E65" w:rsidRPr="00D76CEF">
        <w:t xml:space="preserve"> sampling of 22 Guadalupe Bass on the North Llano River revealed no hybridization. </w:t>
      </w:r>
      <w:r w:rsidR="00B37E65" w:rsidRPr="00D76CEF">
        <w:rPr>
          <w:rStyle w:val="EndnoteReference"/>
        </w:rPr>
        <w:endnoteReference w:id="50"/>
      </w:r>
      <w:r w:rsidR="00B37E65" w:rsidRPr="00D76CEF">
        <w:t xml:space="preserve"> </w:t>
      </w:r>
      <w:r w:rsidR="00715DF9" w:rsidRPr="00D76CEF">
        <w:t>In an effort to ameliorate the effects of this hybridization and to restore degraded habitat for Guadalupe Bass, the Texas Parks and Wildlife Department along with other institutions and organizations (including the South Llano Watershed Alliance), began the Guadalupe Bass Initiative.</w:t>
      </w:r>
      <w:r w:rsidR="00715DF9" w:rsidRPr="00D76CEF">
        <w:rPr>
          <w:rStyle w:val="EndnoteReference"/>
        </w:rPr>
        <w:endnoteReference w:id="51"/>
      </w:r>
    </w:p>
    <w:p w:rsidR="000C47D4" w:rsidRPr="00D76CEF" w:rsidRDefault="000C47D4"/>
    <w:p w:rsidR="00BD62D7" w:rsidRPr="00D76CEF" w:rsidRDefault="000C47D4">
      <w:r w:rsidRPr="00D76CEF">
        <w:t xml:space="preserve">Bi-annual fish samples </w:t>
      </w:r>
      <w:r w:rsidR="00053ECF" w:rsidRPr="00D76CEF">
        <w:t>were</w:t>
      </w:r>
      <w:r w:rsidRPr="00D76CEF">
        <w:t xml:space="preserve"> taken by the LCRA </w:t>
      </w:r>
      <w:r w:rsidR="000D6A63" w:rsidRPr="00D76CEF">
        <w:t>at South Llano River State Park</w:t>
      </w:r>
      <w:r w:rsidR="00053ECF" w:rsidRPr="00D76CEF">
        <w:t xml:space="preserve"> between 2002 and 2008. In addition </w:t>
      </w:r>
      <w:r w:rsidR="00950802" w:rsidRPr="00D76CEF">
        <w:t>ongoing sampling efforts associated with the Guadalupe Bass Initiative</w:t>
      </w:r>
      <w:r w:rsidR="00575912" w:rsidRPr="00D76CEF">
        <w:t xml:space="preserve"> are being conducted at two sites on the South Llano and one site on the North Llano. </w:t>
      </w:r>
      <w:r w:rsidRPr="00D76CEF">
        <w:t>These samples have identified Guadalupe Bass</w:t>
      </w:r>
      <w:r w:rsidR="00E00805" w:rsidRPr="00D76CEF">
        <w:t xml:space="preserve"> (</w:t>
      </w:r>
      <w:proofErr w:type="spellStart"/>
      <w:r w:rsidR="00E00805" w:rsidRPr="00D76CEF">
        <w:rPr>
          <w:i/>
        </w:rPr>
        <w:t>Micropterus</w:t>
      </w:r>
      <w:proofErr w:type="spellEnd"/>
      <w:r w:rsidR="00E00805" w:rsidRPr="00D76CEF">
        <w:rPr>
          <w:i/>
        </w:rPr>
        <w:t xml:space="preserve"> </w:t>
      </w:r>
      <w:proofErr w:type="spellStart"/>
      <w:r w:rsidR="00E00805" w:rsidRPr="00D76CEF">
        <w:rPr>
          <w:i/>
        </w:rPr>
        <w:t>treculii</w:t>
      </w:r>
      <w:proofErr w:type="spellEnd"/>
      <w:r w:rsidR="00E00805" w:rsidRPr="00D76CEF">
        <w:t>)</w:t>
      </w:r>
      <w:r w:rsidRPr="00D76CEF">
        <w:t>, along with Texas Shiners</w:t>
      </w:r>
      <w:r w:rsidR="00E00805" w:rsidRPr="00D76CEF">
        <w:t xml:space="preserve"> (</w:t>
      </w:r>
      <w:proofErr w:type="spellStart"/>
      <w:r w:rsidR="00E00805" w:rsidRPr="00D76CEF">
        <w:rPr>
          <w:i/>
        </w:rPr>
        <w:t>Notropis</w:t>
      </w:r>
      <w:proofErr w:type="spellEnd"/>
      <w:r w:rsidR="00E00805" w:rsidRPr="00D76CEF">
        <w:rPr>
          <w:i/>
        </w:rPr>
        <w:t xml:space="preserve"> </w:t>
      </w:r>
      <w:proofErr w:type="spellStart"/>
      <w:r w:rsidR="00E00805" w:rsidRPr="00D76CEF">
        <w:rPr>
          <w:i/>
        </w:rPr>
        <w:t>amabilis</w:t>
      </w:r>
      <w:proofErr w:type="spellEnd"/>
      <w:r w:rsidR="00E00805" w:rsidRPr="00D76CEF">
        <w:t>)</w:t>
      </w:r>
      <w:r w:rsidRPr="00D76CEF">
        <w:t xml:space="preserve"> and </w:t>
      </w:r>
      <w:proofErr w:type="spellStart"/>
      <w:r w:rsidRPr="00D76CEF">
        <w:t>Greenthroat</w:t>
      </w:r>
      <w:proofErr w:type="spellEnd"/>
      <w:r w:rsidRPr="00D76CEF">
        <w:t xml:space="preserve"> Darters</w:t>
      </w:r>
      <w:r w:rsidR="00E00805" w:rsidRPr="00D76CEF">
        <w:t xml:space="preserve"> (</w:t>
      </w:r>
      <w:proofErr w:type="spellStart"/>
      <w:r w:rsidR="00E00805" w:rsidRPr="00D76CEF">
        <w:rPr>
          <w:i/>
        </w:rPr>
        <w:t>Etheostoma</w:t>
      </w:r>
      <w:proofErr w:type="spellEnd"/>
      <w:r w:rsidR="00E00805" w:rsidRPr="00D76CEF">
        <w:rPr>
          <w:i/>
        </w:rPr>
        <w:t xml:space="preserve"> </w:t>
      </w:r>
      <w:proofErr w:type="spellStart"/>
      <w:r w:rsidR="00E00805" w:rsidRPr="00D76CEF">
        <w:rPr>
          <w:i/>
        </w:rPr>
        <w:t>lepidum</w:t>
      </w:r>
      <w:proofErr w:type="spellEnd"/>
      <w:r w:rsidR="00E00805" w:rsidRPr="00D76CEF">
        <w:t>)</w:t>
      </w:r>
      <w:r w:rsidRPr="00D76CEF">
        <w:t xml:space="preserve">. Texas Shiners and </w:t>
      </w:r>
      <w:proofErr w:type="spellStart"/>
      <w:r w:rsidRPr="00D76CEF">
        <w:t>Greenthroat</w:t>
      </w:r>
      <w:proofErr w:type="spellEnd"/>
      <w:r w:rsidRPr="00D76CEF">
        <w:t xml:space="preserve"> Darters are considered Indicator Species, meaning they are a good indicator of ecosystem health.</w:t>
      </w:r>
      <w:r w:rsidRPr="00D76CEF">
        <w:rPr>
          <w:rStyle w:val="EndnoteReference"/>
        </w:rPr>
        <w:endnoteReference w:id="52"/>
      </w:r>
      <w:r w:rsidRPr="00D76CEF">
        <w:t xml:space="preserve">  </w:t>
      </w:r>
      <w:r w:rsidR="00053ECF" w:rsidRPr="00D76CEF">
        <w:t>In these samples, Guadalupe Bass account</w:t>
      </w:r>
      <w:r w:rsidR="00B97E2D" w:rsidRPr="00D76CEF">
        <w:t xml:space="preserve"> for about 0.5 percent of the relativ</w:t>
      </w:r>
      <w:r w:rsidR="00053ECF" w:rsidRPr="00D76CEF">
        <w:t xml:space="preserve">e abundance in the North Llano </w:t>
      </w:r>
      <w:r w:rsidR="00B97E2D" w:rsidRPr="00D76CEF">
        <w:t xml:space="preserve">and 1.5 percent in the South Llano. </w:t>
      </w:r>
      <w:r w:rsidR="00053ECF" w:rsidRPr="00D76CEF">
        <w:t>T</w:t>
      </w:r>
      <w:r w:rsidR="00B97E2D" w:rsidRPr="00D76CEF">
        <w:t xml:space="preserve">he relative abundance of Texas Shiner in the North Llano </w:t>
      </w:r>
      <w:r w:rsidR="00053ECF" w:rsidRPr="00D76CEF">
        <w:t>is</w:t>
      </w:r>
      <w:r w:rsidR="00B97E2D" w:rsidRPr="00D76CEF">
        <w:t xml:space="preserve"> 36 percent and 12 percent in the South Llano. The relative abundance for </w:t>
      </w:r>
      <w:proofErr w:type="spellStart"/>
      <w:r w:rsidR="00B97E2D" w:rsidRPr="00D76CEF">
        <w:t>Greenthroat</w:t>
      </w:r>
      <w:proofErr w:type="spellEnd"/>
      <w:r w:rsidR="00B97E2D" w:rsidRPr="00D76CEF">
        <w:t xml:space="preserve"> Darters is 2 percent for the North Llano and 0.5 percent for the South Llano.</w:t>
      </w:r>
      <w:r w:rsidR="00053ECF" w:rsidRPr="00D76CEF">
        <w:rPr>
          <w:rStyle w:val="EndnoteReference"/>
        </w:rPr>
        <w:endnoteReference w:id="53"/>
      </w:r>
      <w:r w:rsidR="00DF0787" w:rsidRPr="00D76CEF">
        <w:t xml:space="preserve"> </w:t>
      </w:r>
    </w:p>
    <w:p w:rsidR="00BD62D7" w:rsidRPr="00D76CEF" w:rsidRDefault="00BD62D7"/>
    <w:p w:rsidR="00A171EE" w:rsidRPr="00D76CEF" w:rsidRDefault="00BD62D7" w:rsidP="00BD62D7">
      <w:pPr>
        <w:ind w:right="180"/>
      </w:pPr>
      <w:r w:rsidRPr="00D76CEF">
        <w:t xml:space="preserve">The waterways of the </w:t>
      </w:r>
      <w:r w:rsidR="00B83C2D">
        <w:t>North and South Llano</w:t>
      </w:r>
      <w:r w:rsidRPr="00D76CEF">
        <w:t xml:space="preserve"> watershed </w:t>
      </w:r>
      <w:r w:rsidR="00A171EE" w:rsidRPr="00D76CEF">
        <w:t xml:space="preserve">currently </w:t>
      </w:r>
      <w:r w:rsidRPr="00D76CEF">
        <w:t>provide</w:t>
      </w:r>
      <w:r w:rsidR="00A171EE" w:rsidRPr="00D76CEF">
        <w:t>,</w:t>
      </w:r>
      <w:r w:rsidRPr="00D76CEF">
        <w:t xml:space="preserve"> </w:t>
      </w:r>
      <w:r w:rsidR="00A171EE" w:rsidRPr="00D76CEF">
        <w:t>or historically have provided, habitat for four species of freshwater mussels recently listed as candidate</w:t>
      </w:r>
      <w:r w:rsidR="008B1DB5" w:rsidRPr="00D76CEF">
        <w:t>s</w:t>
      </w:r>
      <w:r w:rsidR="00A171EE" w:rsidRPr="00D76CEF">
        <w:t xml:space="preserve"> for the endangered species list.  The Texas </w:t>
      </w:r>
      <w:proofErr w:type="spellStart"/>
      <w:r w:rsidR="00A171EE" w:rsidRPr="00D76CEF">
        <w:t>Fatmucket</w:t>
      </w:r>
      <w:proofErr w:type="spellEnd"/>
      <w:r w:rsidR="00A171EE" w:rsidRPr="00D76CEF">
        <w:t xml:space="preserve"> (</w:t>
      </w:r>
      <w:proofErr w:type="spellStart"/>
      <w:r w:rsidR="00A171EE" w:rsidRPr="00D76CEF">
        <w:t>Lampsilis</w:t>
      </w:r>
      <w:proofErr w:type="spellEnd"/>
      <w:r w:rsidR="00A171EE" w:rsidRPr="00D76CEF">
        <w:t xml:space="preserve"> </w:t>
      </w:r>
      <w:proofErr w:type="spellStart"/>
      <w:r w:rsidR="00A171EE" w:rsidRPr="00D76CEF">
        <w:t>bracteata</w:t>
      </w:r>
      <w:proofErr w:type="spellEnd"/>
      <w:r w:rsidR="00A171EE" w:rsidRPr="00D76CEF">
        <w:t xml:space="preserve">) has been recently found in the watersheds of the </w:t>
      </w:r>
      <w:r w:rsidR="00B83C2D">
        <w:t>headwater watersheds of the Llano</w:t>
      </w:r>
      <w:r w:rsidR="00A171EE" w:rsidRPr="00D76CEF">
        <w:t xml:space="preserve">. Historically, these </w:t>
      </w:r>
      <w:r w:rsidR="00B83C2D">
        <w:t xml:space="preserve">two </w:t>
      </w:r>
      <w:r w:rsidR="00A171EE" w:rsidRPr="00D76CEF">
        <w:t xml:space="preserve">watersheds have been within the historical range for Texas </w:t>
      </w:r>
      <w:proofErr w:type="spellStart"/>
      <w:r w:rsidR="00A171EE" w:rsidRPr="00D76CEF">
        <w:t>Fawnsfoot</w:t>
      </w:r>
      <w:proofErr w:type="spellEnd"/>
      <w:r w:rsidR="00A171EE" w:rsidRPr="00D76CEF">
        <w:t xml:space="preserve"> (</w:t>
      </w:r>
      <w:proofErr w:type="spellStart"/>
      <w:r w:rsidR="00A171EE" w:rsidRPr="00D76CEF">
        <w:rPr>
          <w:i/>
        </w:rPr>
        <w:t>Truncilla</w:t>
      </w:r>
      <w:proofErr w:type="spellEnd"/>
      <w:r w:rsidR="00A171EE" w:rsidRPr="00D76CEF">
        <w:rPr>
          <w:i/>
        </w:rPr>
        <w:t xml:space="preserve"> </w:t>
      </w:r>
      <w:proofErr w:type="spellStart"/>
      <w:r w:rsidR="00A171EE" w:rsidRPr="00D76CEF">
        <w:rPr>
          <w:i/>
        </w:rPr>
        <w:t>macrodon</w:t>
      </w:r>
      <w:proofErr w:type="spellEnd"/>
      <w:r w:rsidR="00A171EE" w:rsidRPr="00D76CEF">
        <w:t xml:space="preserve">), Smooth </w:t>
      </w:r>
      <w:proofErr w:type="spellStart"/>
      <w:r w:rsidR="00A171EE" w:rsidRPr="00D76CEF">
        <w:t>Pimpleback</w:t>
      </w:r>
      <w:proofErr w:type="spellEnd"/>
      <w:r w:rsidR="00A171EE" w:rsidRPr="00D76CEF">
        <w:t xml:space="preserve"> (</w:t>
      </w:r>
      <w:proofErr w:type="spellStart"/>
      <w:r w:rsidR="00A171EE" w:rsidRPr="00D76CEF">
        <w:rPr>
          <w:i/>
        </w:rPr>
        <w:t>Quadrula</w:t>
      </w:r>
      <w:proofErr w:type="spellEnd"/>
      <w:r w:rsidR="00A171EE" w:rsidRPr="00D76CEF">
        <w:rPr>
          <w:i/>
        </w:rPr>
        <w:t xml:space="preserve"> </w:t>
      </w:r>
      <w:proofErr w:type="spellStart"/>
      <w:r w:rsidR="00A171EE" w:rsidRPr="00D76CEF">
        <w:rPr>
          <w:i/>
        </w:rPr>
        <w:t>houstonensis</w:t>
      </w:r>
      <w:proofErr w:type="spellEnd"/>
      <w:r w:rsidR="00A171EE" w:rsidRPr="00D76CEF">
        <w:t xml:space="preserve">), and Texas </w:t>
      </w:r>
      <w:proofErr w:type="spellStart"/>
      <w:r w:rsidR="00A171EE" w:rsidRPr="00D76CEF">
        <w:t>Pimpleback</w:t>
      </w:r>
      <w:proofErr w:type="spellEnd"/>
      <w:r w:rsidR="00A171EE" w:rsidRPr="00D76CEF">
        <w:t xml:space="preserve">  (</w:t>
      </w:r>
      <w:proofErr w:type="spellStart"/>
      <w:r w:rsidR="00A171EE" w:rsidRPr="00D76CEF">
        <w:rPr>
          <w:i/>
        </w:rPr>
        <w:t>Quadrula</w:t>
      </w:r>
      <w:proofErr w:type="spellEnd"/>
      <w:r w:rsidR="00A171EE" w:rsidRPr="00D76CEF">
        <w:rPr>
          <w:i/>
        </w:rPr>
        <w:t xml:space="preserve"> </w:t>
      </w:r>
      <w:proofErr w:type="spellStart"/>
      <w:r w:rsidR="00A171EE" w:rsidRPr="00D76CEF">
        <w:rPr>
          <w:i/>
        </w:rPr>
        <w:t>petrina</w:t>
      </w:r>
      <w:proofErr w:type="spellEnd"/>
      <w:r w:rsidR="00A171EE" w:rsidRPr="00D76CEF">
        <w:t xml:space="preserve">). </w:t>
      </w:r>
      <w:r w:rsidR="00A171EE" w:rsidRPr="00D76CEF">
        <w:rPr>
          <w:rStyle w:val="EndnoteReference"/>
        </w:rPr>
        <w:endnoteReference w:id="54"/>
      </w:r>
    </w:p>
    <w:p w:rsidR="00BD62D7" w:rsidRPr="00D76CEF" w:rsidRDefault="00BD62D7" w:rsidP="00BD62D7">
      <w:pPr>
        <w:ind w:right="180"/>
      </w:pPr>
    </w:p>
    <w:p w:rsidR="00BD62D7" w:rsidRPr="00D76CEF" w:rsidRDefault="00BD62D7" w:rsidP="00BD62D7">
      <w:pPr>
        <w:ind w:right="180"/>
      </w:pPr>
      <w:r w:rsidRPr="00D76CEF">
        <w:t xml:space="preserve">The springs of the North and South Llano also provide habitat for insects that are an important component of aquatic diversity and an indicator of stream health. During their larval stages, some species of caddis fly require dead and dying plant material for food as well as for the construction of casings used for protection and respiration. Because the streams of the Edwards Plateau are subject to flash floods, much of this material is often removed. Spring areas of the </w:t>
      </w:r>
      <w:r w:rsidR="00B83C2D">
        <w:t>North and South Llano River</w:t>
      </w:r>
      <w:r w:rsidRPr="00D76CEF">
        <w:t>, because they tend to be located above the main river channel, are less likely to be impacted by these floods, thus providing stable habitat for this important group of insects.</w:t>
      </w:r>
      <w:r w:rsidRPr="00D76CEF">
        <w:rPr>
          <w:rStyle w:val="EndnoteReference"/>
        </w:rPr>
        <w:endnoteReference w:id="55"/>
      </w:r>
      <w:r w:rsidRPr="00D76CEF">
        <w:t xml:space="preserve"> </w:t>
      </w:r>
    </w:p>
    <w:p w:rsidR="000C47D4" w:rsidRPr="00D76CEF" w:rsidRDefault="000C47D4"/>
    <w:p w:rsidR="000C47D4" w:rsidRPr="00D76CEF" w:rsidRDefault="000C47D4">
      <w:pPr>
        <w:pStyle w:val="Heading2"/>
        <w:rPr>
          <w:b/>
          <w:bCs/>
          <w:i w:val="0"/>
          <w:iCs w:val="0"/>
          <w:u w:val="single"/>
        </w:rPr>
      </w:pPr>
      <w:r w:rsidRPr="00D76CEF">
        <w:rPr>
          <w:b/>
          <w:bCs/>
          <w:i w:val="0"/>
          <w:iCs w:val="0"/>
          <w:u w:val="single"/>
        </w:rPr>
        <w:t>Terrestrial</w:t>
      </w:r>
    </w:p>
    <w:p w:rsidR="000C47D4" w:rsidRPr="00D76CEF" w:rsidRDefault="000C47D4"/>
    <w:p w:rsidR="004B7FDC" w:rsidRPr="00D76CEF" w:rsidRDefault="004B7FDC" w:rsidP="004B7FDC">
      <w:r w:rsidRPr="00D76CEF">
        <w:t xml:space="preserve">The North and South Llano River are also principal components of unique biological communities and ecological systems found in the Edwards Plateau region: Lacey-oak-Ashe juniper woodland, Southern Great Plains canyon forests, Edwards Plateau shaded cliff and rock outcrops, and Southern Great Plains streambed herbaceous vegetation. </w:t>
      </w:r>
      <w:r w:rsidRPr="00D76CEF">
        <w:rPr>
          <w:rStyle w:val="EndnoteReference"/>
        </w:rPr>
        <w:endnoteReference w:id="56"/>
      </w:r>
      <w:r w:rsidRPr="00D76CEF">
        <w:t xml:space="preserve">  These unique areas provide habitat for native hardwoods such as Spanish oak, Escarpment Black Cherry, and Texas Mountain laurel, as well as a variety of moss found only in Edwards County. </w:t>
      </w:r>
      <w:r w:rsidRPr="00D76CEF">
        <w:rPr>
          <w:rStyle w:val="EndnoteReference"/>
        </w:rPr>
        <w:endnoteReference w:id="57"/>
      </w:r>
      <w:r w:rsidRPr="00D76CEF">
        <w:t xml:space="preserve"> The Endangered </w:t>
      </w:r>
      <w:proofErr w:type="spellStart"/>
      <w:r w:rsidRPr="00D76CEF">
        <w:t>Tobusch</w:t>
      </w:r>
      <w:proofErr w:type="spellEnd"/>
      <w:r w:rsidRPr="00D76CEF">
        <w:t xml:space="preserve"> Fishhook Cactus is found in these watersheds. </w:t>
      </w:r>
    </w:p>
    <w:p w:rsidR="003B53D1" w:rsidRPr="00D76CEF" w:rsidRDefault="003B53D1"/>
    <w:p w:rsidR="00652146" w:rsidRPr="00D76CEF" w:rsidRDefault="00362C1B" w:rsidP="00E00805">
      <w:r w:rsidRPr="00D76CEF">
        <w:t xml:space="preserve">The endangered Golden-cheeked Warbler and Black-capped Vireo are found in the </w:t>
      </w:r>
      <w:r w:rsidR="00B83C2D">
        <w:t>North and South Llano watersheds</w:t>
      </w:r>
      <w:r w:rsidRPr="00D76CEF">
        <w:t>. It is believed that dense stands of old growth juniper in the canyons provide nesting habitat for a significant portion of the Warbler population. Vireo populations prefer more open habitat with less juniper cover and more shrubby deciduous cover.</w:t>
      </w:r>
      <w:r w:rsidR="004B7FDC" w:rsidRPr="00D76CEF">
        <w:t xml:space="preserve"> The riparian corridor along the river also provides critical wildlife habitat for Rio Grande Turkey and White-tailed deer.</w:t>
      </w:r>
    </w:p>
    <w:p w:rsidR="00362C1B" w:rsidRPr="00D76CEF" w:rsidRDefault="00362C1B" w:rsidP="00E00805"/>
    <w:p w:rsidR="00332507" w:rsidRPr="00D76CEF" w:rsidRDefault="00332507" w:rsidP="00332507">
      <w:pPr>
        <w:pStyle w:val="Heading2"/>
        <w:rPr>
          <w:b/>
          <w:bCs/>
          <w:i w:val="0"/>
          <w:iCs w:val="0"/>
          <w:u w:val="single"/>
        </w:rPr>
      </w:pPr>
      <w:r w:rsidRPr="00D76CEF">
        <w:rPr>
          <w:b/>
          <w:bCs/>
          <w:i w:val="0"/>
          <w:iCs w:val="0"/>
          <w:u w:val="single"/>
        </w:rPr>
        <w:t>Riparian</w:t>
      </w:r>
    </w:p>
    <w:p w:rsidR="00332507" w:rsidRPr="00D76CEF" w:rsidRDefault="00332507" w:rsidP="001F2FD0"/>
    <w:p w:rsidR="0045488E" w:rsidRDefault="001F2FD0" w:rsidP="001F2FD0">
      <w:r w:rsidRPr="00D76CEF">
        <w:t xml:space="preserve">Much of the riparian habitat along the lower portions of the watersheds consists of stands of mature native pecans. These pecans bottomlands provide wildlife habitat, bank stability, and enhance aquatic habitat. A study of pecan bottoms in several areas of the Edwards Plateau found that because of intensified browsing from increased deer populations, very few younger pecan trees or other woody plants are growing under the mature pecans. </w:t>
      </w:r>
      <w:r w:rsidRPr="00D76CEF">
        <w:rPr>
          <w:rStyle w:val="EndnoteReference"/>
        </w:rPr>
        <w:endnoteReference w:id="58"/>
      </w:r>
      <w:r w:rsidRPr="00D76CEF">
        <w:t xml:space="preserve"> </w:t>
      </w:r>
    </w:p>
    <w:p w:rsidR="001F2FD0" w:rsidRPr="00D76CEF" w:rsidRDefault="001F2FD0" w:rsidP="001F2FD0"/>
    <w:p w:rsidR="000C47D4" w:rsidRPr="0045488E" w:rsidRDefault="004B7FDC" w:rsidP="0045488E">
      <w:pPr>
        <w:pStyle w:val="EDF-BodyCopy"/>
        <w:rPr>
          <w:sz w:val="24"/>
        </w:rPr>
      </w:pPr>
      <w:r w:rsidRPr="00D76CEF">
        <w:rPr>
          <w:sz w:val="24"/>
        </w:rPr>
        <w:t>There are several aggressive exotic species that grow al</w:t>
      </w:r>
      <w:r w:rsidR="00B83C2D">
        <w:rPr>
          <w:sz w:val="24"/>
        </w:rPr>
        <w:t>ong riparian areas of the North and South Llano</w:t>
      </w:r>
      <w:r w:rsidRPr="00D76CEF">
        <w:rPr>
          <w:sz w:val="24"/>
        </w:rPr>
        <w:t xml:space="preserve"> waterways. These species, including </w:t>
      </w:r>
      <w:proofErr w:type="spellStart"/>
      <w:r w:rsidR="00362C1B" w:rsidRPr="00D76CEF">
        <w:rPr>
          <w:i/>
          <w:sz w:val="24"/>
        </w:rPr>
        <w:t>Arundo</w:t>
      </w:r>
      <w:proofErr w:type="spellEnd"/>
      <w:r w:rsidR="00362C1B" w:rsidRPr="00D76CEF">
        <w:rPr>
          <w:i/>
          <w:sz w:val="24"/>
        </w:rPr>
        <w:t xml:space="preserve"> </w:t>
      </w:r>
      <w:proofErr w:type="spellStart"/>
      <w:r w:rsidR="00362C1B" w:rsidRPr="00D76CEF">
        <w:rPr>
          <w:i/>
          <w:sz w:val="24"/>
        </w:rPr>
        <w:t>donax</w:t>
      </w:r>
      <w:proofErr w:type="spellEnd"/>
      <w:r w:rsidR="00362C1B" w:rsidRPr="00D76CEF">
        <w:rPr>
          <w:sz w:val="24"/>
        </w:rPr>
        <w:t xml:space="preserve">, also known as giant reed or Carrizo cane, </w:t>
      </w:r>
      <w:r w:rsidR="00E00805" w:rsidRPr="00D76CEF">
        <w:rPr>
          <w:sz w:val="24"/>
        </w:rPr>
        <w:t>C</w:t>
      </w:r>
      <w:r w:rsidRPr="00D76CEF">
        <w:rPr>
          <w:sz w:val="24"/>
        </w:rPr>
        <w:t>hinaberry</w:t>
      </w:r>
      <w:r w:rsidR="00E00805" w:rsidRPr="00D76CEF">
        <w:rPr>
          <w:sz w:val="24"/>
        </w:rPr>
        <w:t xml:space="preserve"> (</w:t>
      </w:r>
      <w:proofErr w:type="spellStart"/>
      <w:r w:rsidR="00E00805" w:rsidRPr="00D76CEF">
        <w:rPr>
          <w:i/>
          <w:sz w:val="24"/>
        </w:rPr>
        <w:t>Mezlia</w:t>
      </w:r>
      <w:proofErr w:type="spellEnd"/>
      <w:r w:rsidR="00E00805" w:rsidRPr="00D76CEF">
        <w:rPr>
          <w:i/>
          <w:sz w:val="24"/>
        </w:rPr>
        <w:t xml:space="preserve"> </w:t>
      </w:r>
      <w:proofErr w:type="spellStart"/>
      <w:r w:rsidR="00E00805" w:rsidRPr="00D76CEF">
        <w:rPr>
          <w:i/>
          <w:sz w:val="24"/>
        </w:rPr>
        <w:t>azedarach</w:t>
      </w:r>
      <w:proofErr w:type="spellEnd"/>
      <w:r w:rsidR="00E00805" w:rsidRPr="00D76CEF">
        <w:rPr>
          <w:sz w:val="24"/>
        </w:rPr>
        <w:t>)</w:t>
      </w:r>
      <w:r w:rsidRPr="00D76CEF">
        <w:rPr>
          <w:sz w:val="24"/>
        </w:rPr>
        <w:t xml:space="preserve">, and elephant ear </w:t>
      </w:r>
      <w:r w:rsidR="00E00805" w:rsidRPr="00D76CEF">
        <w:rPr>
          <w:sz w:val="24"/>
        </w:rPr>
        <w:t>(</w:t>
      </w:r>
      <w:proofErr w:type="spellStart"/>
      <w:r w:rsidR="00E00805" w:rsidRPr="00D76CEF">
        <w:rPr>
          <w:i/>
          <w:sz w:val="24"/>
        </w:rPr>
        <w:t>Colocasia</w:t>
      </w:r>
      <w:proofErr w:type="spellEnd"/>
      <w:r w:rsidR="00E00805" w:rsidRPr="00D76CEF">
        <w:rPr>
          <w:i/>
          <w:sz w:val="24"/>
        </w:rPr>
        <w:t xml:space="preserve"> </w:t>
      </w:r>
      <w:proofErr w:type="spellStart"/>
      <w:r w:rsidR="00E00805" w:rsidRPr="00D76CEF">
        <w:rPr>
          <w:i/>
          <w:sz w:val="24"/>
        </w:rPr>
        <w:t>esculenta</w:t>
      </w:r>
      <w:proofErr w:type="spellEnd"/>
      <w:r w:rsidR="00E00805" w:rsidRPr="00D76CEF">
        <w:rPr>
          <w:sz w:val="24"/>
        </w:rPr>
        <w:t xml:space="preserve">) </w:t>
      </w:r>
      <w:r w:rsidRPr="00D76CEF">
        <w:rPr>
          <w:sz w:val="24"/>
        </w:rPr>
        <w:t>have the ability to utilize large amounts of water and monopolize native riparian vegetation.</w:t>
      </w:r>
    </w:p>
    <w:p w:rsidR="000C47D4" w:rsidRPr="0045488E" w:rsidRDefault="0045488E">
      <w:pPr>
        <w:pStyle w:val="Heading1"/>
        <w:rPr>
          <w:rFonts w:ascii="Arial" w:hAnsi="Arial"/>
          <w:sz w:val="32"/>
        </w:rPr>
      </w:pPr>
      <w:r w:rsidRPr="0045488E">
        <w:rPr>
          <w:rFonts w:ascii="Arial" w:hAnsi="Arial"/>
          <w:sz w:val="32"/>
        </w:rPr>
        <w:t>Land Use</w:t>
      </w:r>
    </w:p>
    <w:p w:rsidR="00362C1B" w:rsidRPr="00D76CEF" w:rsidRDefault="00362C1B"/>
    <w:p w:rsidR="00362C1B" w:rsidRPr="00D76CEF" w:rsidRDefault="00362C1B" w:rsidP="00362C1B">
      <w:pPr>
        <w:pStyle w:val="EDF-BodyCopy"/>
        <w:rPr>
          <w:sz w:val="24"/>
        </w:rPr>
      </w:pPr>
      <w:r w:rsidRPr="00D76CEF">
        <w:rPr>
          <w:sz w:val="24"/>
        </w:rPr>
        <w:t xml:space="preserve">Land use changes have occurred across most of the terrestrial habitats of the North and South Llano Watersheds during the last one and a half centuries. Crop and hay production by early settlers along fertile bottomlands, as well as livestock grazing in the bottomlands and uplands, has greatly influenced the current landscape across the Edwards Plateau. In some areas, historical overgrazing and the resulting loss of soil, along with the suppression of fire, have changed the Edwards Plateau from grassland savannah to juniper woodlands. </w:t>
      </w:r>
      <w:r w:rsidRPr="00D76CEF">
        <w:rPr>
          <w:rStyle w:val="EndnoteReference"/>
          <w:sz w:val="24"/>
        </w:rPr>
        <w:endnoteReference w:id="59"/>
      </w:r>
    </w:p>
    <w:p w:rsidR="00362C1B" w:rsidRPr="00D76CEF" w:rsidRDefault="00362C1B" w:rsidP="00362C1B">
      <w:pPr>
        <w:pStyle w:val="EDF-BodyCopy"/>
        <w:rPr>
          <w:sz w:val="24"/>
        </w:rPr>
      </w:pPr>
      <w:r w:rsidRPr="00D76CEF">
        <w:rPr>
          <w:sz w:val="24"/>
        </w:rPr>
        <w:t xml:space="preserve">An exception to this land-use change may be found in the </w:t>
      </w:r>
      <w:proofErr w:type="spellStart"/>
      <w:r w:rsidRPr="00D76CEF">
        <w:rPr>
          <w:sz w:val="24"/>
        </w:rPr>
        <w:t>mesic</w:t>
      </w:r>
      <w:proofErr w:type="spellEnd"/>
      <w:r w:rsidRPr="00D76CEF">
        <w:rPr>
          <w:sz w:val="24"/>
        </w:rPr>
        <w:t xml:space="preserve"> canyon sides. These canyons may have been less impacted by grazing and fire suppression as inaccessibility reduced grazing pressure and the steep slopes limited the ability of fire to become a dominant ecological process.</w:t>
      </w:r>
      <w:r w:rsidRPr="00D76CEF">
        <w:rPr>
          <w:rStyle w:val="EndnoteReference"/>
          <w:b/>
          <w:sz w:val="24"/>
        </w:rPr>
        <w:t xml:space="preserve"> </w:t>
      </w:r>
      <w:r w:rsidRPr="00D76CEF">
        <w:rPr>
          <w:rStyle w:val="EndnoteReference"/>
          <w:b/>
          <w:sz w:val="24"/>
        </w:rPr>
        <w:endnoteReference w:id="60"/>
      </w:r>
    </w:p>
    <w:p w:rsidR="00362C1B" w:rsidRPr="00D76CEF" w:rsidRDefault="00362C1B" w:rsidP="00362C1B">
      <w:pPr>
        <w:pStyle w:val="EDF-BodyCopy"/>
        <w:rPr>
          <w:sz w:val="24"/>
        </w:rPr>
      </w:pPr>
      <w:r w:rsidRPr="00D76CEF">
        <w:rPr>
          <w:sz w:val="24"/>
        </w:rPr>
        <w:t xml:space="preserve">As discussed below, the encroachment of woody vegetation may have had significant impacts on the hydrology of the spring-fed canyon systems in the Edwards Plateau. Currently, there are efforts to reverse this impact through land stewardship and brush control. At the same time however, the transformation of large agricultural land holdings to smaller </w:t>
      </w:r>
      <w:proofErr w:type="spellStart"/>
      <w:r w:rsidRPr="00D76CEF">
        <w:rPr>
          <w:sz w:val="24"/>
        </w:rPr>
        <w:t>ranchettes</w:t>
      </w:r>
      <w:proofErr w:type="spellEnd"/>
      <w:r w:rsidRPr="00D76CEF">
        <w:rPr>
          <w:sz w:val="24"/>
        </w:rPr>
        <w:t xml:space="preserve"> is fragmenting the landscape, complicating large-scale land management efforts and resulting in potential impacts to wildlife habitat and water resources. In addition, recent events have placed </w:t>
      </w:r>
      <w:r w:rsidR="00332507" w:rsidRPr="00D76CEF">
        <w:rPr>
          <w:sz w:val="24"/>
        </w:rPr>
        <w:t>additional strain on aquatic,</w:t>
      </w:r>
      <w:r w:rsidRPr="00D76CEF">
        <w:rPr>
          <w:sz w:val="24"/>
        </w:rPr>
        <w:t xml:space="preserve"> terrestrial</w:t>
      </w:r>
      <w:r w:rsidR="00332507" w:rsidRPr="00D76CEF">
        <w:rPr>
          <w:sz w:val="24"/>
        </w:rPr>
        <w:t>, and riparian</w:t>
      </w:r>
      <w:r w:rsidRPr="00D76CEF">
        <w:rPr>
          <w:sz w:val="24"/>
        </w:rPr>
        <w:t xml:space="preserve"> resources.</w:t>
      </w:r>
    </w:p>
    <w:p w:rsidR="000C47D4" w:rsidRPr="00D76CEF" w:rsidRDefault="000C47D4"/>
    <w:p w:rsidR="000C47D4" w:rsidRPr="00D76CEF" w:rsidRDefault="00252C82">
      <w:r>
        <w:rPr>
          <w:noProof/>
        </w:rPr>
        <w:pict>
          <v:shape id="_x0000_s1085" type="#_x0000_t202" style="position:absolute;margin-left:0;margin-top:189pt;width:423pt;height:27pt;z-index:251659776" stroked="f">
            <v:textbox style="mso-next-textbox:#_x0000_s1085">
              <w:txbxContent>
                <w:p w:rsidR="003450AF" w:rsidRDefault="003450AF">
                  <w:pPr>
                    <w:pStyle w:val="Heading2"/>
                    <w:jc w:val="center"/>
                    <w:rPr>
                      <w:sz w:val="20"/>
                    </w:rPr>
                  </w:pPr>
                  <w:r>
                    <w:rPr>
                      <w:sz w:val="20"/>
                    </w:rPr>
                    <w:t>Juniper woodlands along watershed divide between North and South Llano River</w:t>
                  </w:r>
                </w:p>
              </w:txbxContent>
            </v:textbox>
          </v:shape>
        </w:pict>
      </w:r>
    </w:p>
    <w:p w:rsidR="000C47D4" w:rsidRPr="00D76CEF" w:rsidRDefault="000C47D4"/>
    <w:p w:rsidR="000C47D4" w:rsidRPr="00D76CEF" w:rsidRDefault="000C47D4"/>
    <w:p w:rsidR="000C47D4" w:rsidRPr="00D76CEF" w:rsidRDefault="000C47D4">
      <w:pPr>
        <w:pStyle w:val="Heading2"/>
        <w:rPr>
          <w:b/>
          <w:bCs/>
          <w:i w:val="0"/>
          <w:iCs w:val="0"/>
          <w:u w:val="single"/>
        </w:rPr>
      </w:pPr>
      <w:r w:rsidRPr="00D76CEF">
        <w:rPr>
          <w:b/>
          <w:bCs/>
          <w:i w:val="0"/>
          <w:iCs w:val="0"/>
          <w:u w:val="single"/>
        </w:rPr>
        <w:t xml:space="preserve">Land Stewardship and Brush Management </w:t>
      </w:r>
    </w:p>
    <w:p w:rsidR="00362C1B" w:rsidRPr="00D76CEF" w:rsidRDefault="00362C1B"/>
    <w:p w:rsidR="00362C1B" w:rsidRPr="00D76CEF" w:rsidRDefault="00362C1B" w:rsidP="00362C1B">
      <w:pPr>
        <w:pStyle w:val="EDF-BodyCopy"/>
        <w:rPr>
          <w:color w:val="292526"/>
          <w:sz w:val="24"/>
        </w:rPr>
      </w:pPr>
      <w:r w:rsidRPr="00D76CEF">
        <w:rPr>
          <w:color w:val="292526"/>
          <w:sz w:val="24"/>
        </w:rPr>
        <w:t>Land stewardship utilizes a variety of management practices to balance, preserve and enhance natural ecological systems. Such practices include prescribed burns to enhance grasslands, game management to decrease over-browsing and enhance wildlife populations, and creation of upland water sources to reduce pressure on riparian habitats. One land stewardship technique widely used across the Edwards Plateau is brush control.</w:t>
      </w:r>
    </w:p>
    <w:p w:rsidR="00D35F2B" w:rsidRDefault="00362C1B" w:rsidP="00362C1B">
      <w:pPr>
        <w:pStyle w:val="EDF-BodyCopy"/>
        <w:rPr>
          <w:sz w:val="24"/>
        </w:rPr>
      </w:pPr>
      <w:r w:rsidRPr="00D76CEF">
        <w:rPr>
          <w:color w:val="292526"/>
          <w:sz w:val="24"/>
        </w:rPr>
        <w:t xml:space="preserve">The control, clearing, and sculpting of brush species, especially Ashe juniper, is a popular technique used to increase spring flows and improve livestock grazing and wildlife habitat. Some studies have shown that because juniper </w:t>
      </w:r>
      <w:r w:rsidRPr="00D76CEF">
        <w:rPr>
          <w:sz w:val="24"/>
        </w:rPr>
        <w:t xml:space="preserve">is evergreen and has a high leaf area, the canopy and litter of a juniper tree can intercept as much as 40% of the precipitation falling on a tree. </w:t>
      </w:r>
      <w:r w:rsidRPr="00D76CEF">
        <w:rPr>
          <w:rStyle w:val="EndnoteReference"/>
          <w:sz w:val="24"/>
        </w:rPr>
        <w:endnoteReference w:id="61"/>
      </w:r>
      <w:r w:rsidRPr="00D76CEF">
        <w:rPr>
          <w:sz w:val="24"/>
        </w:rPr>
        <w:t xml:space="preserve">   Under grassland cover, precipitation is slowed by grasses and infiltrates into the soils and eventually the underlying water table. With the loss of soil and grasses and an increase in woody species, especially juniper, more precipitation is kept from reaching the ground. What does reach the ground runs off more quickly, rather than infiltrating down to the water table. </w:t>
      </w:r>
    </w:p>
    <w:p w:rsidR="00D35F2B" w:rsidRDefault="00D35F2B" w:rsidP="00D35F2B">
      <w:pPr>
        <w:pStyle w:val="EDF-BodyCopy"/>
        <w:rPr>
          <w:sz w:val="24"/>
        </w:rPr>
      </w:pPr>
      <w:r w:rsidRPr="00D76CEF">
        <w:rPr>
          <w:sz w:val="24"/>
        </w:rPr>
        <w:t xml:space="preserve">Ashe juniper is the primary brush species found in the North and South Llano watersheds. </w:t>
      </w:r>
      <w:r>
        <w:rPr>
          <w:sz w:val="24"/>
        </w:rPr>
        <w:t>It is estimated that about 60 percent of the basin in covered…</w:t>
      </w:r>
    </w:p>
    <w:p w:rsidR="00362C1B" w:rsidRPr="00D76CEF" w:rsidRDefault="00D35F2B" w:rsidP="00362C1B">
      <w:pPr>
        <w:pStyle w:val="EDF-BodyCopy"/>
        <w:rPr>
          <w:sz w:val="24"/>
        </w:rPr>
      </w:pPr>
      <w:r w:rsidRPr="00D35F2B">
        <w:rPr>
          <w:noProof/>
          <w:sz w:val="24"/>
        </w:rPr>
        <w:drawing>
          <wp:inline distT="0" distB="0" distL="0" distR="0">
            <wp:extent cx="5584371" cy="6515100"/>
            <wp:effectExtent l="25400" t="0" r="362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584371" cy="6515100"/>
                    </a:xfrm>
                    <a:prstGeom prst="rect">
                      <a:avLst/>
                    </a:prstGeom>
                    <a:noFill/>
                    <a:ln w="9525">
                      <a:noFill/>
                      <a:miter lim="800000"/>
                      <a:headEnd/>
                      <a:tailEnd/>
                    </a:ln>
                  </pic:spPr>
                </pic:pic>
              </a:graphicData>
            </a:graphic>
          </wp:inline>
        </w:drawing>
      </w:r>
    </w:p>
    <w:p w:rsidR="000928B8" w:rsidRPr="00D76CEF" w:rsidRDefault="00362C1B" w:rsidP="00362C1B">
      <w:pPr>
        <w:pStyle w:val="EDF-BodyCopy"/>
        <w:rPr>
          <w:sz w:val="24"/>
        </w:rPr>
      </w:pPr>
      <w:r w:rsidRPr="00D76CEF">
        <w:rPr>
          <w:sz w:val="24"/>
        </w:rPr>
        <w:t xml:space="preserve">Ashe juniper is the primary brush species found in the </w:t>
      </w:r>
      <w:r w:rsidR="00620375" w:rsidRPr="00D76CEF">
        <w:rPr>
          <w:sz w:val="24"/>
        </w:rPr>
        <w:t>North and South Llano watersheds</w:t>
      </w:r>
      <w:r w:rsidRPr="00D76CEF">
        <w:rPr>
          <w:sz w:val="24"/>
        </w:rPr>
        <w:t xml:space="preserve">. </w:t>
      </w:r>
      <w:r w:rsidRPr="00D76CEF">
        <w:rPr>
          <w:color w:val="292526"/>
          <w:sz w:val="24"/>
        </w:rPr>
        <w:t xml:space="preserve">There have been a number of field studies done in Texas in recent years to monitor the effectiveness of using brush clearing to augment water supplies.  There is much debate in the scientific community as to </w:t>
      </w:r>
      <w:r w:rsidRPr="00D76CEF">
        <w:rPr>
          <w:sz w:val="24"/>
        </w:rPr>
        <w:t xml:space="preserve">whether removal of juniper increases water supply on a large scale. However, there is scientific confidence that increased spring flow and/or groundwater recharge (up to 1.5 inches per year) will result, at least in the near term, from converting Ashe juniper woodlands to grasslands in small catchments with sufficient soil to support grassland development and in areas where drainage is rapid and deep, such as the </w:t>
      </w:r>
      <w:proofErr w:type="spellStart"/>
      <w:r w:rsidRPr="00D76CEF">
        <w:rPr>
          <w:sz w:val="24"/>
        </w:rPr>
        <w:t>karst</w:t>
      </w:r>
      <w:proofErr w:type="spellEnd"/>
      <w:r w:rsidRPr="00D76CEF">
        <w:rPr>
          <w:sz w:val="24"/>
        </w:rPr>
        <w:t xml:space="preserve"> systems associated with the Edwards Plateau. At this small catchment scale, it is estimated that clearing brush from eight acres of land may result in an increased yield of one acre-foot. On a larger scale, it is still uncertain if similar increases would occur, though recent research has indicated that reduced grazing pressure in combination with brush control can increase herbaceous cover and result in increased soil infiltration capacity. In </w:t>
      </w:r>
      <w:proofErr w:type="spellStart"/>
      <w:r w:rsidRPr="00D76CEF">
        <w:rPr>
          <w:sz w:val="24"/>
        </w:rPr>
        <w:t>karst</w:t>
      </w:r>
      <w:proofErr w:type="spellEnd"/>
      <w:r w:rsidRPr="00D76CEF">
        <w:rPr>
          <w:sz w:val="24"/>
        </w:rPr>
        <w:t xml:space="preserve"> regions, this can result in slightly increased volumes of </w:t>
      </w:r>
      <w:proofErr w:type="spellStart"/>
      <w:r w:rsidRPr="00D76CEF">
        <w:rPr>
          <w:sz w:val="24"/>
        </w:rPr>
        <w:t>baseflow</w:t>
      </w:r>
      <w:proofErr w:type="spellEnd"/>
      <w:r w:rsidRPr="00D76CEF">
        <w:rPr>
          <w:sz w:val="24"/>
        </w:rPr>
        <w:t xml:space="preserve">. </w:t>
      </w:r>
      <w:r w:rsidRPr="00D76CEF">
        <w:rPr>
          <w:rStyle w:val="EndnoteReference"/>
          <w:sz w:val="24"/>
        </w:rPr>
        <w:endnoteReference w:id="62"/>
      </w:r>
      <w:r w:rsidRPr="00D76CEF">
        <w:rPr>
          <w:sz w:val="24"/>
        </w:rPr>
        <w:t xml:space="preserve"> </w:t>
      </w:r>
    </w:p>
    <w:p w:rsidR="000C47D4" w:rsidRPr="00D76CEF" w:rsidRDefault="00362C1B" w:rsidP="006F5A3D">
      <w:pPr>
        <w:pStyle w:val="EDF-BodyCopy"/>
        <w:rPr>
          <w:sz w:val="24"/>
        </w:rPr>
      </w:pPr>
      <w:r w:rsidRPr="00D76CEF">
        <w:rPr>
          <w:sz w:val="24"/>
        </w:rPr>
        <w:t>Control of Ashe juniper should not be undertaken without serious consideration of the resulting effects.  There is little to no benefit to be gained from removing Ashe juniper from moderate to steep slopes or from areas with little to no soil cover.  The former is subject to severe erosion during intense rainfall events and the latter will not support the development of continuous grass cover.  Indeed, in cases with little to no existing soil cover Ashe juniper actually serves to re-create the lost soil layer through leaf fall and trapping of sediment and organic debris.  In addition, mature Ashe junipers serve as the exclusive nesting material of the endangered golden-cheeked warbler.</w:t>
      </w:r>
      <w:r w:rsidRPr="00D76CEF">
        <w:rPr>
          <w:rStyle w:val="EndnoteReference"/>
          <w:sz w:val="24"/>
        </w:rPr>
        <w:endnoteReference w:id="63"/>
      </w:r>
    </w:p>
    <w:p w:rsidR="000C47D4" w:rsidRPr="00D76CEF" w:rsidRDefault="00CC1207">
      <w:r w:rsidRPr="00D76CEF">
        <w:t xml:space="preserve">As with Fort </w:t>
      </w:r>
      <w:proofErr w:type="spellStart"/>
      <w:r w:rsidRPr="00D76CEF">
        <w:t>Terrett</w:t>
      </w:r>
      <w:proofErr w:type="spellEnd"/>
      <w:r w:rsidRPr="00D76CEF">
        <w:t xml:space="preserve"> Springs mentioned earlier, </w:t>
      </w:r>
      <w:r w:rsidR="000C47D4" w:rsidRPr="00D76CEF">
        <w:t xml:space="preserve">Paint Rock Springs </w:t>
      </w:r>
      <w:r w:rsidRPr="00D76CEF">
        <w:t>and their</w:t>
      </w:r>
      <w:r w:rsidR="000C47D4" w:rsidRPr="00D76CEF">
        <w:t xml:space="preserve"> upland landscape may provide anecdotal evidence of how the changing landscape from grasslands to juniper cover can impact water resources.    Gunnar </w:t>
      </w:r>
      <w:proofErr w:type="spellStart"/>
      <w:r w:rsidR="000C47D4" w:rsidRPr="00D76CEF">
        <w:t>Brune</w:t>
      </w:r>
      <w:proofErr w:type="spellEnd"/>
      <w:r w:rsidR="000C47D4" w:rsidRPr="00D76CEF">
        <w:t xml:space="preserve">, in </w:t>
      </w:r>
      <w:r w:rsidR="000C47D4" w:rsidRPr="00D76CEF">
        <w:rPr>
          <w:i/>
          <w:iCs/>
        </w:rPr>
        <w:t>Springs of Texas</w:t>
      </w:r>
      <w:r w:rsidR="000C47D4" w:rsidRPr="00D76CEF">
        <w:t xml:space="preserve">, describes Paint Rock Springs (just east of the Highway 377 crossing of the South Llano River above Telegraph) as “much larger” when they formed the headwaters of the South Llano River and were the midway stop on the Fort Clark to Fort </w:t>
      </w:r>
      <w:proofErr w:type="spellStart"/>
      <w:r w:rsidR="000C47D4" w:rsidRPr="00D76CEF">
        <w:t>McKavett</w:t>
      </w:r>
      <w:proofErr w:type="spellEnd"/>
      <w:r w:rsidR="000C47D4" w:rsidRPr="00D76CEF">
        <w:t xml:space="preserve"> road from 1852 to 1883. Today, however, less than 5 gallons per minute flows from the spring and the headwaters of the South Llano are located two and half miles downstream at Llano Springs (below the rest area on highway 377). </w:t>
      </w:r>
      <w:r w:rsidR="000C47D4" w:rsidRPr="00D76CEF">
        <w:rPr>
          <w:rStyle w:val="EndnoteReference"/>
        </w:rPr>
        <w:endnoteReference w:id="64"/>
      </w:r>
      <w:r w:rsidR="000C47D4" w:rsidRPr="00D76CEF">
        <w:t xml:space="preserve">  As only minor groundwater pumping occurs above Paint Rock Springs, the decline in spring flow is most likely the result of changes in the upland landscape from grassland savanna to juniper woodlands.    </w:t>
      </w:r>
    </w:p>
    <w:p w:rsidR="000C47D4" w:rsidRPr="00D76CEF" w:rsidRDefault="000C47D4">
      <w:r w:rsidRPr="00D76CEF">
        <w:t xml:space="preserve"> </w:t>
      </w:r>
    </w:p>
    <w:p w:rsidR="00652146" w:rsidRPr="00D76CEF" w:rsidRDefault="000C47D4">
      <w:pPr>
        <w:pStyle w:val="Heading2"/>
        <w:rPr>
          <w:b/>
          <w:bCs/>
          <w:i w:val="0"/>
          <w:iCs w:val="0"/>
          <w:u w:val="single"/>
        </w:rPr>
      </w:pPr>
      <w:r w:rsidRPr="00D76CEF">
        <w:rPr>
          <w:b/>
          <w:bCs/>
          <w:i w:val="0"/>
          <w:iCs w:val="0"/>
          <w:u w:val="single"/>
        </w:rPr>
        <w:t>Fragmentation</w:t>
      </w:r>
    </w:p>
    <w:p w:rsidR="000C47D4" w:rsidRPr="00D76CEF" w:rsidRDefault="000C47D4" w:rsidP="00652146"/>
    <w:p w:rsidR="00CC1207" w:rsidRPr="00D76CEF" w:rsidRDefault="00CC1207" w:rsidP="00CC1207">
      <w:pPr>
        <w:pStyle w:val="EDF-BodyCopy"/>
        <w:rPr>
          <w:sz w:val="24"/>
        </w:rPr>
      </w:pPr>
      <w:r w:rsidRPr="00D76CEF">
        <w:rPr>
          <w:sz w:val="24"/>
        </w:rPr>
        <w:t xml:space="preserve">There is a growing trend in Texas whereby large-scale land holdings are being sold and subdivided (fragmented) into smaller parcels, or </w:t>
      </w:r>
      <w:proofErr w:type="spellStart"/>
      <w:r w:rsidRPr="00D76CEF">
        <w:rPr>
          <w:sz w:val="24"/>
        </w:rPr>
        <w:t>ranchettes</w:t>
      </w:r>
      <w:proofErr w:type="spellEnd"/>
      <w:r w:rsidRPr="00D76CEF">
        <w:rPr>
          <w:sz w:val="24"/>
        </w:rPr>
        <w:t xml:space="preserve">.  This trend is driven by the influx of new absentee landowners.  As with many areas of the Texas Hill Country, people purchase rural land seeking a weekend retreat to escape urban crowds and reconnect with the land through hunting, fishing, or small-scale agriculture. </w:t>
      </w:r>
      <w:r w:rsidRPr="00D76CEF">
        <w:rPr>
          <w:rStyle w:val="EndnoteReference"/>
          <w:sz w:val="24"/>
        </w:rPr>
        <w:endnoteReference w:id="65"/>
      </w:r>
      <w:r w:rsidRPr="00D76CEF">
        <w:rPr>
          <w:sz w:val="24"/>
        </w:rPr>
        <w:t xml:space="preserve"> For many, these smaller parcels are, or will become, a place of retirement.  Because these new landowners have outside sources of income, they generally do not need to make a living off of the land. This has the potential to take pressure off of grasslands that are usually stressed during times of drought.  On the other hand, these changes also result in a marked increase in land values and increased pressure on water resources and wildlife habitat. </w:t>
      </w:r>
    </w:p>
    <w:p w:rsidR="000C47D4" w:rsidRPr="0045488E" w:rsidRDefault="00CC1207" w:rsidP="0045488E">
      <w:pPr>
        <w:pStyle w:val="EDF-BodyCopy"/>
        <w:rPr>
          <w:sz w:val="24"/>
        </w:rPr>
      </w:pPr>
      <w:r w:rsidRPr="00D76CEF">
        <w:rPr>
          <w:sz w:val="24"/>
        </w:rPr>
        <w:t xml:space="preserve">As new owners purchase lands for scenic and recreational value, rather than productive value, land prices escalate. Such escalation places pressure on traditional rural agricultural economies, as producers are able to make more money from the sale of land than from production from the land, resulting in less land being utilized for agriculture. The subdividing of large ranches into smaller tracts also increases pressure on wildlife habitat and water resources, as more homes, roads, fences, and more wells and septic systems are introduced to the landscape. It also complicates the efficient implementation of land stewardship practices such as brush control, managed grazing, and controlled burning. </w:t>
      </w:r>
      <w:r w:rsidRPr="00D76CEF">
        <w:rPr>
          <w:rStyle w:val="EndnoteReference"/>
          <w:sz w:val="24"/>
        </w:rPr>
        <w:endnoteReference w:id="66"/>
      </w:r>
    </w:p>
    <w:p w:rsidR="008C6496" w:rsidRPr="00D76CEF" w:rsidRDefault="000C47D4">
      <w:r w:rsidRPr="00D76CEF">
        <w:t>The impacts</w:t>
      </w:r>
      <w:r w:rsidR="00E17601" w:rsidRPr="00D76CEF">
        <w:t xml:space="preserve"> of fragmentation in Edwards,</w:t>
      </w:r>
      <w:r w:rsidRPr="00D76CEF">
        <w:t xml:space="preserve"> Kimble</w:t>
      </w:r>
      <w:r w:rsidR="00E17601" w:rsidRPr="00D76CEF">
        <w:t>, and Sutton</w:t>
      </w:r>
      <w:r w:rsidRPr="00D76CEF">
        <w:t xml:space="preserve"> counties are shown i</w:t>
      </w:r>
      <w:r w:rsidR="0045488E">
        <w:t>n Table 5</w:t>
      </w:r>
      <w:r w:rsidR="00E17601" w:rsidRPr="00D76CEF">
        <w:t>. Between 1997 and 2007</w:t>
      </w:r>
      <w:r w:rsidRPr="00D76CEF">
        <w:t xml:space="preserve">, the </w:t>
      </w:r>
      <w:r w:rsidR="00E17601" w:rsidRPr="00D76CEF">
        <w:t>total amount of acres</w:t>
      </w:r>
      <w:r w:rsidRPr="00D76CEF">
        <w:t xml:space="preserve"> in Edwards County </w:t>
      </w:r>
      <w:r w:rsidR="00E17601" w:rsidRPr="00D76CEF">
        <w:t xml:space="preserve">in ranches greater than 2,000 acres </w:t>
      </w:r>
      <w:r w:rsidRPr="00D76CEF">
        <w:t xml:space="preserve">decreased </w:t>
      </w:r>
      <w:r w:rsidR="008C6496" w:rsidRPr="00D76CEF">
        <w:t>19 percent</w:t>
      </w:r>
      <w:r w:rsidRPr="00D76CEF">
        <w:t xml:space="preserve"> from </w:t>
      </w:r>
      <w:r w:rsidR="008C6496" w:rsidRPr="00D76CEF">
        <w:t xml:space="preserve">over one million </w:t>
      </w:r>
      <w:r w:rsidRPr="00D76CEF">
        <w:t xml:space="preserve">acres to </w:t>
      </w:r>
      <w:r w:rsidR="008C6496" w:rsidRPr="00D76CEF">
        <w:t>864,000</w:t>
      </w:r>
      <w:r w:rsidRPr="00D76CEF">
        <w:t xml:space="preserve"> acres</w:t>
      </w:r>
      <w:r w:rsidR="008C6496" w:rsidRPr="00D76CEF">
        <w:t>.</w:t>
      </w:r>
      <w:r w:rsidRPr="00D76CEF">
        <w:t xml:space="preserve"> </w:t>
      </w:r>
      <w:r w:rsidR="008C6496" w:rsidRPr="00D76CEF">
        <w:t xml:space="preserve">The amount of acreage in this category declined 33 percent in Kimble County but only 5 percent in Sutton County. Land values in these counties increased by as much as fourfold (Kimble County) during this period. </w:t>
      </w:r>
    </w:p>
    <w:p w:rsidR="000C47D4" w:rsidRPr="00D76CEF" w:rsidRDefault="000C47D4"/>
    <w:p w:rsidR="00BC77F4" w:rsidRPr="00D76CEF" w:rsidRDefault="0045488E">
      <w:pPr>
        <w:rPr>
          <w:b/>
          <w:bCs/>
        </w:rPr>
      </w:pPr>
      <w:r>
        <w:rPr>
          <w:b/>
          <w:bCs/>
        </w:rPr>
        <w:t>Table 5</w:t>
      </w:r>
      <w:r w:rsidR="000C47D4" w:rsidRPr="00D76CEF">
        <w:rPr>
          <w:b/>
          <w:bCs/>
        </w:rPr>
        <w:t xml:space="preserve">. Changes in Ranching Acreage and Land Values for Edwards and Kimble Counties </w:t>
      </w:r>
      <w:r w:rsidR="000C47D4" w:rsidRPr="00D76CEF">
        <w:rPr>
          <w:rStyle w:val="EndnoteReference"/>
        </w:rPr>
        <w:endnoteReference w:id="67"/>
      </w:r>
    </w:p>
    <w:p w:rsidR="000C47D4" w:rsidRPr="00D76CEF" w:rsidRDefault="000C47D4"/>
    <w:tbl>
      <w:tblPr>
        <w:tblW w:w="8830" w:type="dxa"/>
        <w:tblCellMar>
          <w:left w:w="0" w:type="dxa"/>
          <w:right w:w="0" w:type="dxa"/>
        </w:tblCellMar>
        <w:tblLook w:val="0000"/>
      </w:tblPr>
      <w:tblGrid>
        <w:gridCol w:w="2375"/>
        <w:gridCol w:w="1707"/>
        <w:gridCol w:w="1693"/>
        <w:gridCol w:w="1467"/>
        <w:gridCol w:w="1588"/>
      </w:tblGrid>
      <w:tr w:rsidR="00BC77F4" w:rsidRPr="00D76CEF">
        <w:trPr>
          <w:trHeight w:val="455"/>
        </w:trPr>
        <w:tc>
          <w:tcPr>
            <w:tcW w:w="2375"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BC77F4" w:rsidRPr="00D76CEF" w:rsidRDefault="00BC77F4">
            <w:pPr>
              <w:rPr>
                <w:rFonts w:cs="Arial"/>
                <w:szCs w:val="20"/>
              </w:rPr>
            </w:pPr>
            <w:r w:rsidRPr="00D76CEF">
              <w:rPr>
                <w:rFonts w:cs="Arial"/>
                <w:szCs w:val="20"/>
              </w:rPr>
              <w:t> </w:t>
            </w:r>
          </w:p>
        </w:tc>
        <w:tc>
          <w:tcPr>
            <w:tcW w:w="3400" w:type="dxa"/>
            <w:gridSpan w:val="2"/>
            <w:tcBorders>
              <w:top w:val="single" w:sz="4" w:space="0" w:color="auto"/>
              <w:left w:val="single" w:sz="4" w:space="0" w:color="auto"/>
              <w:bottom w:val="nil"/>
              <w:right w:val="single" w:sz="4" w:space="0" w:color="000000"/>
            </w:tcBorders>
            <w:noWrap/>
            <w:tcMar>
              <w:top w:w="15" w:type="dxa"/>
              <w:left w:w="15" w:type="dxa"/>
              <w:bottom w:w="0" w:type="dxa"/>
              <w:right w:w="15" w:type="dxa"/>
            </w:tcMar>
            <w:vAlign w:val="bottom"/>
          </w:tcPr>
          <w:p w:rsidR="00BC77F4" w:rsidRPr="00D76CEF" w:rsidRDefault="003564A5" w:rsidP="003564A5">
            <w:pPr>
              <w:jc w:val="center"/>
              <w:rPr>
                <w:rFonts w:cs="Arial"/>
                <w:b/>
                <w:bCs/>
                <w:i/>
                <w:iCs/>
                <w:szCs w:val="20"/>
              </w:rPr>
            </w:pPr>
            <w:r w:rsidRPr="00D76CEF">
              <w:rPr>
                <w:rFonts w:cs="Arial"/>
                <w:b/>
                <w:bCs/>
                <w:i/>
                <w:iCs/>
                <w:szCs w:val="20"/>
              </w:rPr>
              <w:t>Acres i</w:t>
            </w:r>
            <w:r w:rsidR="00237F21" w:rsidRPr="00D76CEF">
              <w:rPr>
                <w:rFonts w:cs="Arial"/>
                <w:b/>
                <w:bCs/>
                <w:i/>
                <w:iCs/>
                <w:szCs w:val="20"/>
              </w:rPr>
              <w:t xml:space="preserve">n Ranches &gt; 2,000 acres </w:t>
            </w:r>
            <w:r w:rsidR="009C7762" w:rsidRPr="00D76CEF">
              <w:rPr>
                <w:rFonts w:cs="Arial"/>
                <w:b/>
                <w:bCs/>
                <w:i/>
                <w:iCs/>
                <w:szCs w:val="20"/>
              </w:rPr>
              <w:t>(1,000 acres)</w:t>
            </w:r>
          </w:p>
        </w:tc>
        <w:tc>
          <w:tcPr>
            <w:tcW w:w="3055" w:type="dxa"/>
            <w:gridSpan w:val="2"/>
            <w:tcBorders>
              <w:top w:val="single" w:sz="4" w:space="0" w:color="auto"/>
              <w:left w:val="nil"/>
              <w:bottom w:val="nil"/>
              <w:right w:val="single" w:sz="4" w:space="0" w:color="000000"/>
            </w:tcBorders>
            <w:noWrap/>
            <w:tcMar>
              <w:top w:w="15" w:type="dxa"/>
              <w:left w:w="15" w:type="dxa"/>
              <w:bottom w:w="0" w:type="dxa"/>
              <w:right w:w="15" w:type="dxa"/>
            </w:tcMar>
            <w:vAlign w:val="bottom"/>
          </w:tcPr>
          <w:p w:rsidR="00BC77F4" w:rsidRPr="00D76CEF" w:rsidRDefault="00BC77F4">
            <w:pPr>
              <w:rPr>
                <w:rFonts w:cs="Arial"/>
                <w:b/>
                <w:bCs/>
                <w:i/>
                <w:iCs/>
                <w:szCs w:val="20"/>
              </w:rPr>
            </w:pPr>
            <w:r w:rsidRPr="00D76CEF">
              <w:rPr>
                <w:rFonts w:cs="Arial"/>
                <w:b/>
                <w:bCs/>
                <w:i/>
                <w:iCs/>
                <w:szCs w:val="20"/>
              </w:rPr>
              <w:t xml:space="preserve">   Ag. Land Value ($/acre)</w:t>
            </w:r>
          </w:p>
        </w:tc>
      </w:tr>
      <w:tr w:rsidR="00BC77F4" w:rsidRPr="00D76CEF">
        <w:trPr>
          <w:trHeight w:val="417"/>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BC77F4" w:rsidRPr="00D76CEF" w:rsidRDefault="00BC77F4">
            <w:pPr>
              <w:rPr>
                <w:rFonts w:cs="Arial"/>
                <w:b/>
                <w:bCs/>
                <w:szCs w:val="20"/>
              </w:rPr>
            </w:pPr>
            <w:r w:rsidRPr="00D76CEF">
              <w:rPr>
                <w:rFonts w:cs="Arial"/>
                <w:b/>
                <w:bCs/>
                <w:szCs w:val="20"/>
              </w:rPr>
              <w:t> </w:t>
            </w:r>
          </w:p>
        </w:tc>
        <w:tc>
          <w:tcPr>
            <w:tcW w:w="170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C77F4" w:rsidRPr="00D76CEF" w:rsidRDefault="00BC77F4">
            <w:pPr>
              <w:jc w:val="center"/>
              <w:rPr>
                <w:rFonts w:cs="Arial"/>
                <w:b/>
                <w:bCs/>
                <w:szCs w:val="20"/>
              </w:rPr>
            </w:pPr>
            <w:r w:rsidRPr="00D76CEF">
              <w:rPr>
                <w:rFonts w:cs="Arial"/>
                <w:b/>
                <w:bCs/>
                <w:szCs w:val="20"/>
              </w:rPr>
              <w:t>1997</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C77F4" w:rsidRPr="00D76CEF" w:rsidRDefault="00A8057C">
            <w:pPr>
              <w:jc w:val="center"/>
              <w:rPr>
                <w:rFonts w:cs="Arial"/>
                <w:b/>
                <w:bCs/>
                <w:szCs w:val="20"/>
              </w:rPr>
            </w:pPr>
            <w:r w:rsidRPr="00D76CEF">
              <w:rPr>
                <w:rFonts w:cs="Arial"/>
                <w:b/>
                <w:bCs/>
                <w:szCs w:val="20"/>
              </w:rPr>
              <w:t>2007</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C77F4" w:rsidRPr="00D76CEF" w:rsidRDefault="00A8057C">
            <w:pPr>
              <w:jc w:val="center"/>
              <w:rPr>
                <w:rFonts w:cs="Arial"/>
                <w:b/>
                <w:bCs/>
                <w:szCs w:val="20"/>
              </w:rPr>
            </w:pPr>
            <w:r w:rsidRPr="00D76CEF">
              <w:rPr>
                <w:rFonts w:cs="Arial"/>
                <w:b/>
                <w:bCs/>
                <w:szCs w:val="20"/>
              </w:rPr>
              <w:t>1997</w:t>
            </w:r>
          </w:p>
        </w:tc>
        <w:tc>
          <w:tcPr>
            <w:tcW w:w="15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C77F4" w:rsidRPr="00D76CEF" w:rsidRDefault="00BC77F4">
            <w:pPr>
              <w:jc w:val="center"/>
              <w:rPr>
                <w:rFonts w:cs="Arial"/>
                <w:b/>
                <w:bCs/>
                <w:szCs w:val="20"/>
              </w:rPr>
            </w:pPr>
            <w:r w:rsidRPr="00D76CEF">
              <w:rPr>
                <w:rFonts w:cs="Arial"/>
                <w:b/>
                <w:bCs/>
                <w:szCs w:val="20"/>
              </w:rPr>
              <w:t>2007</w:t>
            </w:r>
          </w:p>
        </w:tc>
      </w:tr>
      <w:tr w:rsidR="00BC77F4" w:rsidRPr="00D76CEF">
        <w:trPr>
          <w:trHeight w:val="707"/>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BC77F4" w:rsidRPr="00D76CEF" w:rsidRDefault="00BC77F4">
            <w:pPr>
              <w:rPr>
                <w:rFonts w:cs="Arial"/>
                <w:b/>
                <w:bCs/>
                <w:szCs w:val="20"/>
              </w:rPr>
            </w:pPr>
            <w:r w:rsidRPr="00D76CEF">
              <w:rPr>
                <w:rFonts w:cs="Arial"/>
                <w:b/>
                <w:bCs/>
                <w:szCs w:val="20"/>
              </w:rPr>
              <w:t>Edwards County</w:t>
            </w:r>
          </w:p>
        </w:tc>
        <w:tc>
          <w:tcPr>
            <w:tcW w:w="170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C77F4" w:rsidRPr="00D76CEF" w:rsidRDefault="00A8057C">
            <w:pPr>
              <w:jc w:val="center"/>
              <w:rPr>
                <w:rFonts w:cs="Arial"/>
                <w:szCs w:val="20"/>
              </w:rPr>
            </w:pPr>
            <w:r w:rsidRPr="00D76CEF">
              <w:rPr>
                <w:rFonts w:cs="Arial"/>
                <w:szCs w:val="20"/>
              </w:rPr>
              <w:t>1,</w:t>
            </w:r>
            <w:r w:rsidR="009C7762" w:rsidRPr="00D76CEF">
              <w:rPr>
                <w:rFonts w:cs="Arial"/>
                <w:szCs w:val="20"/>
              </w:rPr>
              <w:t>069</w:t>
            </w:r>
          </w:p>
        </w:tc>
        <w:tc>
          <w:tcPr>
            <w:tcW w:w="169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C77F4" w:rsidRPr="00D76CEF" w:rsidRDefault="009C7762">
            <w:pPr>
              <w:jc w:val="center"/>
              <w:rPr>
                <w:rFonts w:cs="Arial"/>
                <w:szCs w:val="20"/>
              </w:rPr>
            </w:pPr>
            <w:r w:rsidRPr="00D76CEF">
              <w:rPr>
                <w:rFonts w:cs="Arial"/>
                <w:szCs w:val="20"/>
              </w:rPr>
              <w:t>864</w:t>
            </w:r>
          </w:p>
        </w:tc>
        <w:tc>
          <w:tcPr>
            <w:tcW w:w="14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C77F4" w:rsidRPr="00D76CEF" w:rsidRDefault="00A8057C">
            <w:pPr>
              <w:jc w:val="center"/>
              <w:rPr>
                <w:rFonts w:cs="Arial"/>
                <w:szCs w:val="20"/>
              </w:rPr>
            </w:pPr>
            <w:r w:rsidRPr="00D76CEF">
              <w:rPr>
                <w:rFonts w:cs="Arial"/>
                <w:szCs w:val="20"/>
              </w:rPr>
              <w:t>$253</w:t>
            </w:r>
            <w:r w:rsidR="00BC77F4" w:rsidRPr="00D76CEF">
              <w:rPr>
                <w:rFonts w:cs="Arial"/>
                <w:szCs w:val="20"/>
              </w:rPr>
              <w:t xml:space="preserve"> </w:t>
            </w:r>
          </w:p>
        </w:tc>
        <w:tc>
          <w:tcPr>
            <w:tcW w:w="15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C77F4" w:rsidRPr="00D76CEF" w:rsidRDefault="00BC77F4">
            <w:pPr>
              <w:jc w:val="center"/>
              <w:rPr>
                <w:rFonts w:cs="Arial"/>
                <w:szCs w:val="20"/>
              </w:rPr>
            </w:pPr>
            <w:r w:rsidRPr="00D76CEF">
              <w:rPr>
                <w:rFonts w:cs="Arial"/>
                <w:szCs w:val="20"/>
              </w:rPr>
              <w:t xml:space="preserve">$579 </w:t>
            </w:r>
          </w:p>
        </w:tc>
      </w:tr>
      <w:tr w:rsidR="009C7762" w:rsidRPr="00D76CEF">
        <w:trPr>
          <w:trHeight w:val="707"/>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9C7762" w:rsidRPr="00D76CEF" w:rsidRDefault="009C7762">
            <w:pPr>
              <w:rPr>
                <w:rFonts w:cs="Arial"/>
                <w:b/>
                <w:bCs/>
                <w:szCs w:val="20"/>
              </w:rPr>
            </w:pPr>
            <w:r w:rsidRPr="00D76CEF">
              <w:rPr>
                <w:rFonts w:cs="Arial"/>
                <w:b/>
                <w:bCs/>
                <w:szCs w:val="20"/>
              </w:rPr>
              <w:t>Kimble County</w:t>
            </w:r>
          </w:p>
        </w:tc>
        <w:tc>
          <w:tcPr>
            <w:tcW w:w="170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C7762" w:rsidRPr="00D76CEF" w:rsidRDefault="009C7762">
            <w:pPr>
              <w:jc w:val="center"/>
              <w:rPr>
                <w:rFonts w:cs="Arial"/>
                <w:szCs w:val="20"/>
              </w:rPr>
            </w:pPr>
            <w:r w:rsidRPr="00D76CEF">
              <w:rPr>
                <w:rFonts w:cs="Arial"/>
                <w:szCs w:val="20"/>
              </w:rPr>
              <w:t>580</w:t>
            </w:r>
          </w:p>
        </w:tc>
        <w:tc>
          <w:tcPr>
            <w:tcW w:w="169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C7762" w:rsidRPr="00D76CEF" w:rsidRDefault="009C7762">
            <w:pPr>
              <w:jc w:val="center"/>
              <w:rPr>
                <w:rFonts w:cs="Arial"/>
                <w:szCs w:val="20"/>
              </w:rPr>
            </w:pPr>
            <w:r w:rsidRPr="00D76CEF">
              <w:rPr>
                <w:rFonts w:cs="Arial"/>
                <w:szCs w:val="20"/>
              </w:rPr>
              <w:t>384</w:t>
            </w:r>
          </w:p>
        </w:tc>
        <w:tc>
          <w:tcPr>
            <w:tcW w:w="14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C7762" w:rsidRPr="00D76CEF" w:rsidRDefault="009C7762">
            <w:pPr>
              <w:jc w:val="center"/>
              <w:rPr>
                <w:rFonts w:cs="Arial"/>
                <w:szCs w:val="20"/>
              </w:rPr>
            </w:pPr>
            <w:r w:rsidRPr="00D76CEF">
              <w:rPr>
                <w:rFonts w:cs="Arial"/>
                <w:szCs w:val="20"/>
              </w:rPr>
              <w:t xml:space="preserve">$408 </w:t>
            </w:r>
          </w:p>
        </w:tc>
        <w:tc>
          <w:tcPr>
            <w:tcW w:w="15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C7762" w:rsidRPr="00D76CEF" w:rsidRDefault="009C7762">
            <w:pPr>
              <w:jc w:val="center"/>
              <w:rPr>
                <w:rFonts w:cs="Arial"/>
                <w:szCs w:val="20"/>
              </w:rPr>
            </w:pPr>
            <w:r w:rsidRPr="00D76CEF">
              <w:rPr>
                <w:rFonts w:cs="Arial"/>
                <w:szCs w:val="20"/>
              </w:rPr>
              <w:t xml:space="preserve">$1,642 </w:t>
            </w:r>
          </w:p>
        </w:tc>
      </w:tr>
      <w:tr w:rsidR="009C7762" w:rsidRPr="00D76CEF">
        <w:trPr>
          <w:trHeight w:val="707"/>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9C7762" w:rsidRPr="00D76CEF" w:rsidRDefault="009C7762">
            <w:pPr>
              <w:rPr>
                <w:rFonts w:cs="Arial"/>
                <w:b/>
                <w:bCs/>
                <w:szCs w:val="20"/>
              </w:rPr>
            </w:pPr>
            <w:r w:rsidRPr="00D76CEF">
              <w:rPr>
                <w:rFonts w:cs="Arial"/>
                <w:b/>
                <w:bCs/>
                <w:szCs w:val="20"/>
              </w:rPr>
              <w:t>Sutton County</w:t>
            </w:r>
          </w:p>
        </w:tc>
        <w:tc>
          <w:tcPr>
            <w:tcW w:w="170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C7762" w:rsidRPr="00D76CEF" w:rsidRDefault="00C0230C">
            <w:pPr>
              <w:jc w:val="center"/>
              <w:rPr>
                <w:rFonts w:cs="Arial"/>
                <w:szCs w:val="20"/>
              </w:rPr>
            </w:pPr>
            <w:r w:rsidRPr="00D76CEF">
              <w:rPr>
                <w:rFonts w:cs="Arial"/>
                <w:szCs w:val="20"/>
              </w:rPr>
              <w:t>877</w:t>
            </w:r>
          </w:p>
        </w:tc>
        <w:tc>
          <w:tcPr>
            <w:tcW w:w="169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C7762" w:rsidRPr="00D76CEF" w:rsidRDefault="00C0230C">
            <w:pPr>
              <w:jc w:val="center"/>
              <w:rPr>
                <w:rFonts w:cs="Arial"/>
                <w:szCs w:val="20"/>
              </w:rPr>
            </w:pPr>
            <w:r w:rsidRPr="00D76CEF">
              <w:rPr>
                <w:rFonts w:cs="Arial"/>
                <w:szCs w:val="20"/>
              </w:rPr>
              <w:t>832</w:t>
            </w:r>
          </w:p>
        </w:tc>
        <w:tc>
          <w:tcPr>
            <w:tcW w:w="14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C7762" w:rsidRPr="00D76CEF" w:rsidRDefault="00C0230C">
            <w:pPr>
              <w:jc w:val="center"/>
              <w:rPr>
                <w:rFonts w:cs="Arial"/>
                <w:szCs w:val="20"/>
              </w:rPr>
            </w:pPr>
            <w:r w:rsidRPr="00D76CEF">
              <w:rPr>
                <w:rFonts w:cs="Arial"/>
                <w:szCs w:val="20"/>
              </w:rPr>
              <w:t>$200</w:t>
            </w:r>
          </w:p>
        </w:tc>
        <w:tc>
          <w:tcPr>
            <w:tcW w:w="15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C7762" w:rsidRPr="00D76CEF" w:rsidRDefault="00C0230C">
            <w:pPr>
              <w:jc w:val="center"/>
              <w:rPr>
                <w:rFonts w:cs="Arial"/>
                <w:szCs w:val="20"/>
              </w:rPr>
            </w:pPr>
            <w:r w:rsidRPr="00D76CEF">
              <w:rPr>
                <w:rFonts w:cs="Arial"/>
                <w:szCs w:val="20"/>
              </w:rPr>
              <w:t>$663</w:t>
            </w:r>
          </w:p>
        </w:tc>
      </w:tr>
    </w:tbl>
    <w:p w:rsidR="000C47D4" w:rsidRPr="00D76CEF" w:rsidRDefault="000C47D4"/>
    <w:p w:rsidR="000928B8" w:rsidRPr="00D76CEF" w:rsidRDefault="000928B8">
      <w:pPr>
        <w:rPr>
          <w:highlight w:val="yellow"/>
        </w:rPr>
      </w:pPr>
    </w:p>
    <w:p w:rsidR="007D173E" w:rsidRPr="0045488E" w:rsidRDefault="004B6208">
      <w:pPr>
        <w:rPr>
          <w:b/>
          <w:u w:val="single"/>
        </w:rPr>
      </w:pPr>
      <w:r w:rsidRPr="0045488E">
        <w:rPr>
          <w:b/>
          <w:u w:val="single"/>
        </w:rPr>
        <w:t>Wildfire</w:t>
      </w:r>
      <w:r w:rsidR="005B705B" w:rsidRPr="0045488E">
        <w:rPr>
          <w:b/>
          <w:u w:val="single"/>
        </w:rPr>
        <w:t xml:space="preserve"> and Drought</w:t>
      </w:r>
    </w:p>
    <w:p w:rsidR="007D173E" w:rsidRPr="00D76CEF" w:rsidRDefault="007D173E"/>
    <w:p w:rsidR="005D19C8" w:rsidRPr="00D76CEF" w:rsidRDefault="007D173E">
      <w:r w:rsidRPr="00D76CEF">
        <w:t xml:space="preserve">Although the average annual flow for the Llano River in Junction during the 2011 was 60.7 </w:t>
      </w:r>
      <w:proofErr w:type="spellStart"/>
      <w:r w:rsidRPr="00D76CEF">
        <w:t>cfs</w:t>
      </w:r>
      <w:proofErr w:type="spellEnd"/>
      <w:r w:rsidRPr="00D76CEF">
        <w:t xml:space="preserve">, the lowest flow since the drought of the 1950s, this dry period actually began in 2008. </w:t>
      </w:r>
      <w:r w:rsidRPr="00D76CEF">
        <w:rPr>
          <w:rStyle w:val="EndnoteReference"/>
        </w:rPr>
        <w:endnoteReference w:id="68"/>
      </w:r>
      <w:r w:rsidRPr="00D76CEF">
        <w:t xml:space="preserve"> </w:t>
      </w:r>
      <w:r w:rsidR="005D19C8" w:rsidRPr="00D76CEF">
        <w:t>On April 26</w:t>
      </w:r>
      <w:r w:rsidR="005D19C8" w:rsidRPr="00D76CEF">
        <w:rPr>
          <w:vertAlign w:val="superscript"/>
        </w:rPr>
        <w:t>th</w:t>
      </w:r>
      <w:r w:rsidR="005D19C8" w:rsidRPr="00D76CEF">
        <w:t>, 2011, i</w:t>
      </w:r>
      <w:r w:rsidRPr="00D76CEF">
        <w:t xml:space="preserve">n the middle of this dry period, </w:t>
      </w:r>
      <w:r w:rsidR="00D06C7F" w:rsidRPr="00D76CEF">
        <w:t>lightning caused a fire</w:t>
      </w:r>
      <w:r w:rsidR="005D19C8" w:rsidRPr="00D76CEF">
        <w:t xml:space="preserve"> in the South Llano watershed approximately </w:t>
      </w:r>
      <w:r w:rsidR="00A24A55" w:rsidRPr="00D76CEF">
        <w:t>13</w:t>
      </w:r>
      <w:r w:rsidR="005D19C8" w:rsidRPr="00D76CEF">
        <w:t xml:space="preserve"> miles southwest of Junction. By the time the fire was extinguished</w:t>
      </w:r>
      <w:r w:rsidR="00A24A55" w:rsidRPr="00D76CEF">
        <w:t xml:space="preserve"> in the middle of May</w:t>
      </w:r>
      <w:r w:rsidR="005D19C8" w:rsidRPr="00D76CEF">
        <w:t xml:space="preserve">, </w:t>
      </w:r>
      <w:r w:rsidR="00A24A55" w:rsidRPr="00D76CEF">
        <w:t>an estimated</w:t>
      </w:r>
      <w:r w:rsidR="005D19C8" w:rsidRPr="00D76CEF">
        <w:t xml:space="preserve"> 10,000 acres of </w:t>
      </w:r>
      <w:r w:rsidR="00A24A55" w:rsidRPr="00D76CEF">
        <w:t>upland and riparian habitat had been destroyed, along with numerous structures</w:t>
      </w:r>
      <w:r w:rsidR="005D19C8" w:rsidRPr="00D76CEF">
        <w:t xml:space="preserve">. </w:t>
      </w:r>
    </w:p>
    <w:p w:rsidR="005E6711" w:rsidRPr="00D76CEF" w:rsidRDefault="005E6711"/>
    <w:p w:rsidR="004E20E1" w:rsidRPr="00D76CEF" w:rsidRDefault="004E20E1" w:rsidP="004E20E1">
      <w:pPr>
        <w:pStyle w:val="NoSpacing"/>
        <w:rPr>
          <w:rFonts w:ascii="Georgia" w:hAnsi="Georgia" w:cs="Arial"/>
          <w:sz w:val="24"/>
          <w:szCs w:val="24"/>
        </w:rPr>
      </w:pPr>
      <w:r w:rsidRPr="00D76CEF">
        <w:rPr>
          <w:rFonts w:ascii="Georgia" w:hAnsi="Georgia" w:cs="Arial"/>
          <w:sz w:val="24"/>
          <w:szCs w:val="24"/>
        </w:rPr>
        <w:t xml:space="preserve">Fire is a valuable land management tool when used in a prescribed setting and can dramatically increase the health of a landscape.  The ecosystem of the Edwards Plateau </w:t>
      </w:r>
      <w:r w:rsidR="00A24A55" w:rsidRPr="00D76CEF">
        <w:rPr>
          <w:rFonts w:ascii="Georgia" w:hAnsi="Georgia" w:cs="Arial"/>
          <w:sz w:val="24"/>
          <w:szCs w:val="24"/>
        </w:rPr>
        <w:t xml:space="preserve">evolved with fire.  However, </w:t>
      </w:r>
      <w:r w:rsidRPr="00D76CEF">
        <w:rPr>
          <w:rFonts w:ascii="Georgia" w:hAnsi="Georgia" w:cs="Arial"/>
          <w:sz w:val="24"/>
          <w:szCs w:val="24"/>
        </w:rPr>
        <w:t xml:space="preserve">fires of this magnitude </w:t>
      </w:r>
      <w:r w:rsidR="00A24A55" w:rsidRPr="00D76CEF">
        <w:rPr>
          <w:rFonts w:ascii="Georgia" w:hAnsi="Georgia" w:cs="Arial"/>
          <w:sz w:val="24"/>
          <w:szCs w:val="24"/>
        </w:rPr>
        <w:t>have the potential to cause dramatic incr</w:t>
      </w:r>
      <w:r w:rsidR="00D06C7F" w:rsidRPr="00D76CEF">
        <w:rPr>
          <w:rFonts w:ascii="Georgia" w:hAnsi="Georgia" w:cs="Arial"/>
          <w:sz w:val="24"/>
          <w:szCs w:val="24"/>
        </w:rPr>
        <w:t xml:space="preserve">eases in sediment in the rivers. </w:t>
      </w:r>
    </w:p>
    <w:p w:rsidR="00CD0D70" w:rsidRPr="00D76CEF" w:rsidRDefault="00A24A55">
      <w:r w:rsidRPr="00D76CEF">
        <w:rPr>
          <w:noProof/>
        </w:rPr>
        <w:drawing>
          <wp:inline distT="0" distB="0" distL="0" distR="0">
            <wp:extent cx="4064000" cy="3048000"/>
            <wp:effectExtent l="2540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4E20E1" w:rsidRPr="00D76CEF" w:rsidRDefault="004E20E1"/>
    <w:p w:rsidR="0045488E" w:rsidRDefault="002716D5">
      <w:pPr>
        <w:rPr>
          <w:b/>
          <w:u w:val="single"/>
        </w:rPr>
      </w:pPr>
      <w:r w:rsidRPr="0045488E">
        <w:rPr>
          <w:b/>
          <w:u w:val="single"/>
        </w:rPr>
        <w:t xml:space="preserve">Sand and Gravel Extraction </w:t>
      </w:r>
    </w:p>
    <w:p w:rsidR="000C7E31" w:rsidRPr="0045488E" w:rsidRDefault="000C7E31" w:rsidP="0045488E">
      <w:pPr>
        <w:pStyle w:val="NormalIndent"/>
      </w:pPr>
    </w:p>
    <w:p w:rsidR="00026703" w:rsidRPr="00D76CEF" w:rsidRDefault="008B2EE6">
      <w:r w:rsidRPr="00D76CEF">
        <w:t>Since the mid-1980s</w:t>
      </w:r>
      <w:r w:rsidR="005A0742" w:rsidRPr="00D76CEF">
        <w:t>, sand and gravel has been</w:t>
      </w:r>
      <w:r w:rsidR="00654C2A" w:rsidRPr="00D76CEF">
        <w:t xml:space="preserve"> extract</w:t>
      </w:r>
      <w:r w:rsidR="005A0742" w:rsidRPr="00D76CEF">
        <w:t>ed</w:t>
      </w:r>
      <w:r w:rsidR="00654C2A" w:rsidRPr="00D76CEF">
        <w:t xml:space="preserve"> from the North Llano River about </w:t>
      </w:r>
      <w:r w:rsidR="002716D5" w:rsidRPr="00D76CEF">
        <w:t>one mile</w:t>
      </w:r>
      <w:r w:rsidR="00654C2A" w:rsidRPr="00D76CEF">
        <w:t xml:space="preserve"> above the confluence with the South Llano. TPWD oversees the extraction of such materials f</w:t>
      </w:r>
      <w:r w:rsidR="005A65FD" w:rsidRPr="00D76CEF">
        <w:t>rom navigable waterways</w:t>
      </w:r>
      <w:r w:rsidR="005369B4" w:rsidRPr="00D76CEF">
        <w:t xml:space="preserve"> through the issuance of permits</w:t>
      </w:r>
      <w:r w:rsidR="005A65FD" w:rsidRPr="00D76CEF">
        <w:t>. Although the</w:t>
      </w:r>
      <w:r w:rsidR="00654C2A" w:rsidRPr="00D76CEF">
        <w:t xml:space="preserve"> permit </w:t>
      </w:r>
      <w:r w:rsidR="005A65FD" w:rsidRPr="00D76CEF">
        <w:t xml:space="preserve">for this operation </w:t>
      </w:r>
      <w:r w:rsidR="00654C2A" w:rsidRPr="00D76CEF">
        <w:t xml:space="preserve">was retired in 2004, the impacts of these extraction activities are still visible. Most notably, the </w:t>
      </w:r>
      <w:r w:rsidR="005369B4" w:rsidRPr="00D76CEF">
        <w:t xml:space="preserve">mining </w:t>
      </w:r>
      <w:r w:rsidR="00654C2A" w:rsidRPr="00D76CEF">
        <w:t>activity within the channel apparently caused the ch</w:t>
      </w:r>
      <w:r w:rsidR="002716D5" w:rsidRPr="00D76CEF">
        <w:t xml:space="preserve">annel </w:t>
      </w:r>
      <w:r w:rsidR="005369B4" w:rsidRPr="00D76CEF">
        <w:t xml:space="preserve">downstream </w:t>
      </w:r>
      <w:r w:rsidR="002716D5" w:rsidRPr="00D76CEF">
        <w:t>to migrate approximately 7</w:t>
      </w:r>
      <w:r w:rsidR="00654C2A" w:rsidRPr="00D76CEF">
        <w:t xml:space="preserve">00 feet to the south. </w:t>
      </w:r>
    </w:p>
    <w:p w:rsidR="00026703" w:rsidRPr="00D76CEF" w:rsidRDefault="00026703"/>
    <w:p w:rsidR="00654C2A" w:rsidRPr="00D76CEF" w:rsidRDefault="00D03ECD">
      <w:r w:rsidRPr="00D76CEF">
        <w:rPr>
          <w:noProof/>
        </w:rPr>
        <w:drawing>
          <wp:inline distT="0" distB="0" distL="0" distR="0">
            <wp:extent cx="5486400" cy="4316730"/>
            <wp:effectExtent l="0" t="0" r="0" b="0"/>
            <wp:docPr id="11" name="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88833" cy="7937500"/>
                      <a:chOff x="-358881" y="-1080176"/>
                      <a:chExt cx="10088833" cy="7937500"/>
                    </a:xfrm>
                  </a:grpSpPr>
                  <a:pic>
                    <a:nvPicPr>
                      <a:cNvPr id="4" name="Picture 3"/>
                      <a:cNvPicPr>
                        <a:picLocks noChangeAspect="1"/>
                      </a:cNvPicPr>
                    </a:nvPicPr>
                    <a:blipFill>
                      <a:blip r:embed="rId19"/>
                      <a:stretch>
                        <a:fillRect/>
                      </a:stretch>
                    </a:blipFill>
                    <a:spPr>
                      <a:xfrm>
                        <a:off x="-303048" y="-1080176"/>
                        <a:ext cx="10033000" cy="7937500"/>
                      </a:xfrm>
                      <a:prstGeom prst="rect">
                        <a:avLst/>
                      </a:prstGeom>
                      <a:solidFill>
                        <a:schemeClr val="tx1">
                          <a:lumMod val="95000"/>
                          <a:lumOff val="5000"/>
                        </a:schemeClr>
                      </a:solidFill>
                      <a:ln>
                        <a:tailEnd type="arrow"/>
                      </a:ln>
                    </a:spPr>
                  </a:pic>
                  <a:cxnSp>
                    <a:nvCxnSpPr>
                      <a:cNvPr id="6" name="Straight Arrow Connector 5"/>
                      <a:cNvCxnSpPr/>
                    </a:nvCxnSpPr>
                    <a:spPr>
                      <a:xfrm>
                        <a:off x="3592502" y="4770237"/>
                        <a:ext cx="1167456" cy="487452"/>
                      </a:xfrm>
                      <a:prstGeom prst="straightConnector1">
                        <a:avLst/>
                      </a:prstGeom>
                      <a:ln w="66675" cap="flat" cmpd="sng" algn="ctr">
                        <a:solidFill>
                          <a:schemeClr val="tx2">
                            <a:lumMod val="40000"/>
                            <a:lumOff val="60000"/>
                            <a:alpha val="90000"/>
                          </a:schemeClr>
                        </a:solidFill>
                        <a:prstDash val="solid"/>
                        <a:round/>
                        <a:headEnd type="none" w="med" len="med"/>
                        <a:tailEnd type="stealth" w="med" len="med"/>
                      </a:ln>
                    </a:spPr>
                    <a:style>
                      <a:lnRef idx="3">
                        <a:schemeClr val="accent4"/>
                      </a:lnRef>
                      <a:fillRef idx="0">
                        <a:schemeClr val="accent4"/>
                      </a:fillRef>
                      <a:effectRef idx="2">
                        <a:schemeClr val="accent4"/>
                      </a:effectRef>
                      <a:fontRef idx="minor">
                        <a:schemeClr val="tx1"/>
                      </a:fontRef>
                    </a:style>
                  </a:cxnSp>
                  <a:sp>
                    <a:nvSpPr>
                      <a:cNvPr id="13" name="TextBox 12"/>
                      <a:cNvSpPr txBox="1"/>
                    </a:nvSpPr>
                    <a:spPr>
                      <a:xfrm>
                        <a:off x="1603400" y="4244300"/>
                        <a:ext cx="1669973" cy="646331"/>
                      </a:xfrm>
                      <a:prstGeom prst="rect">
                        <a:avLst/>
                      </a:prstGeom>
                    </a:spPr>
                    <a:txSp>
                      <a:txBody>
                        <a:bodyPr wrap="none" rtlCol="0">
                          <a:spAutoFit/>
                        </a:bodyP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r>
                            <a:rPr lang="en-US" dirty="0" smtClean="0">
                              <a:solidFill>
                                <a:schemeClr val="tx1">
                                  <a:alpha val="85000"/>
                                </a:schemeClr>
                              </a:solidFill>
                            </a:rPr>
                            <a:t>Mouth of North</a:t>
                          </a:r>
                        </a:p>
                        <a:p>
                          <a:r>
                            <a:rPr lang="en-US" dirty="0" smtClean="0">
                              <a:solidFill>
                                <a:schemeClr val="tx1">
                                  <a:alpha val="85000"/>
                                </a:schemeClr>
                              </a:solidFill>
                            </a:rPr>
                            <a:t>Llano 2012</a:t>
                          </a:r>
                          <a:endParaRPr lang="en-US" dirty="0">
                            <a:solidFill>
                              <a:schemeClr val="tx1">
                                <a:alpha val="85000"/>
                              </a:schemeClr>
                            </a:solidFill>
                          </a:endParaRPr>
                        </a:p>
                      </a:txBody>
                      <a:useSpRect/>
                    </a:txSp>
                    <a:style>
                      <a:lnRef idx="1">
                        <a:schemeClr val="accent1"/>
                      </a:lnRef>
                      <a:fillRef idx="2">
                        <a:schemeClr val="accent1"/>
                      </a:fillRef>
                      <a:effectRef idx="1">
                        <a:schemeClr val="accent1"/>
                      </a:effectRef>
                      <a:fontRef idx="minor">
                        <a:schemeClr val="dk1"/>
                      </a:fontRef>
                    </a:style>
                  </a:sp>
                  <a:sp>
                    <a:nvSpPr>
                      <a:cNvPr id="16" name="TextBox 15"/>
                      <a:cNvSpPr txBox="1"/>
                    </a:nvSpPr>
                    <a:spPr>
                      <a:xfrm>
                        <a:off x="-358881" y="1011749"/>
                        <a:ext cx="1503612" cy="923330"/>
                      </a:xfrm>
                      <a:prstGeom prst="rect">
                        <a:avLst/>
                      </a:prstGeom>
                    </a:spPr>
                    <a:txSp>
                      <a:txBody>
                        <a:bodyPr wrap="none" rtlCol="0">
                          <a:spAutoFit/>
                        </a:bodyP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r>
                            <a:rPr lang="en-US" dirty="0" smtClean="0">
                              <a:solidFill>
                                <a:schemeClr val="tx1">
                                  <a:alpha val="85000"/>
                                </a:schemeClr>
                              </a:solidFill>
                            </a:rPr>
                            <a:t>Sand &amp; Gravel </a:t>
                          </a:r>
                        </a:p>
                        <a:p>
                          <a:r>
                            <a:rPr lang="en-US" dirty="0" smtClean="0">
                              <a:solidFill>
                                <a:schemeClr val="tx1">
                                  <a:alpha val="85000"/>
                                </a:schemeClr>
                              </a:solidFill>
                            </a:rPr>
                            <a:t>Operation in </a:t>
                          </a:r>
                        </a:p>
                        <a:p>
                          <a:r>
                            <a:rPr lang="en-US" dirty="0" smtClean="0">
                              <a:solidFill>
                                <a:schemeClr val="tx1">
                                  <a:alpha val="85000"/>
                                </a:schemeClr>
                              </a:solidFill>
                            </a:rPr>
                            <a:t>North Llano</a:t>
                          </a:r>
                          <a:endParaRPr lang="en-US" dirty="0">
                            <a:solidFill>
                              <a:schemeClr val="tx1">
                                <a:alpha val="85000"/>
                              </a:schemeClr>
                            </a:solidFill>
                          </a:endParaRPr>
                        </a:p>
                      </a:txBody>
                      <a:useSpRect/>
                    </a:txSp>
                    <a:style>
                      <a:lnRef idx="1">
                        <a:schemeClr val="accent1"/>
                      </a:lnRef>
                      <a:fillRef idx="2">
                        <a:schemeClr val="accent1"/>
                      </a:fillRef>
                      <a:effectRef idx="1">
                        <a:schemeClr val="accent1"/>
                      </a:effectRef>
                      <a:fontRef idx="minor">
                        <a:schemeClr val="dk1"/>
                      </a:fontRef>
                    </a:style>
                  </a:sp>
                  <a:cxnSp>
                    <a:nvCxnSpPr>
                      <a:cNvPr id="17" name="Straight Arrow Connector 16"/>
                      <a:cNvCxnSpPr/>
                    </a:nvCxnSpPr>
                    <a:spPr>
                      <a:xfrm rot="5400000" flipH="1" flipV="1">
                        <a:off x="407" y="373162"/>
                        <a:ext cx="936756" cy="340423"/>
                      </a:xfrm>
                      <a:prstGeom prst="straightConnector1">
                        <a:avLst/>
                      </a:prstGeom>
                      <a:ln w="66675" cap="flat" cmpd="sng" algn="ctr">
                        <a:solidFill>
                          <a:schemeClr val="tx2">
                            <a:lumMod val="40000"/>
                            <a:lumOff val="60000"/>
                            <a:alpha val="90000"/>
                          </a:schemeClr>
                        </a:solidFill>
                        <a:prstDash val="solid"/>
                        <a:round/>
                        <a:headEnd type="none" w="med" len="med"/>
                        <a:tailEnd type="stealth" w="med" len="med"/>
                      </a:ln>
                    </a:spPr>
                    <a:style>
                      <a:lnRef idx="3">
                        <a:schemeClr val="accent4"/>
                      </a:lnRef>
                      <a:fillRef idx="0">
                        <a:schemeClr val="accent4"/>
                      </a:fillRef>
                      <a:effectRef idx="2">
                        <a:schemeClr val="accent4"/>
                      </a:effectRef>
                      <a:fontRef idx="minor">
                        <a:schemeClr val="tx1"/>
                      </a:fontRef>
                    </a:style>
                  </a:cxnSp>
                  <a:sp>
                    <a:nvSpPr>
                      <a:cNvPr id="21" name="TextBox 20"/>
                      <a:cNvSpPr txBox="1"/>
                    </a:nvSpPr>
                    <a:spPr>
                      <a:xfrm>
                        <a:off x="6718142" y="2916399"/>
                        <a:ext cx="1669973" cy="646331"/>
                      </a:xfrm>
                      <a:prstGeom prst="rect">
                        <a:avLst/>
                      </a:prstGeom>
                    </a:spPr>
                    <a:txSp>
                      <a:txBody>
                        <a:bodyPr wrap="none" rtlCol="0">
                          <a:spAutoFit/>
                        </a:bodyP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r>
                            <a:rPr lang="en-US" dirty="0" smtClean="0">
                              <a:solidFill>
                                <a:schemeClr val="tx1">
                                  <a:alpha val="85000"/>
                                </a:schemeClr>
                              </a:solidFill>
                            </a:rPr>
                            <a:t>Mouth of North </a:t>
                          </a:r>
                        </a:p>
                        <a:p>
                          <a:r>
                            <a:rPr lang="en-US" dirty="0" smtClean="0">
                              <a:solidFill>
                                <a:schemeClr val="tx1">
                                  <a:alpha val="85000"/>
                                </a:schemeClr>
                              </a:solidFill>
                            </a:rPr>
                            <a:t>Llano 1974</a:t>
                          </a:r>
                          <a:endParaRPr lang="en-US" dirty="0">
                            <a:solidFill>
                              <a:schemeClr val="tx1">
                                <a:alpha val="85000"/>
                              </a:schemeClr>
                            </a:solidFill>
                          </a:endParaRPr>
                        </a:p>
                      </a:txBody>
                      <a:useSpRect/>
                    </a:txSp>
                    <a:style>
                      <a:lnRef idx="1">
                        <a:schemeClr val="accent1"/>
                      </a:lnRef>
                      <a:fillRef idx="2">
                        <a:schemeClr val="accent1"/>
                      </a:fillRef>
                      <a:effectRef idx="1">
                        <a:schemeClr val="accent1"/>
                      </a:effectRef>
                      <a:fontRef idx="minor">
                        <a:schemeClr val="dk1"/>
                      </a:fontRef>
                    </a:style>
                  </a:sp>
                  <a:cxnSp>
                    <a:nvCxnSpPr>
                      <a:cNvPr id="22" name="Straight Arrow Connector 21"/>
                      <a:cNvCxnSpPr/>
                    </a:nvCxnSpPr>
                    <a:spPr>
                      <a:xfrm rot="5400000">
                        <a:off x="6500378" y="3780495"/>
                        <a:ext cx="938047" cy="502517"/>
                      </a:xfrm>
                      <a:prstGeom prst="straightConnector1">
                        <a:avLst/>
                      </a:prstGeom>
                      <a:ln w="66675" cap="flat" cmpd="sng" algn="ctr">
                        <a:solidFill>
                          <a:schemeClr val="tx2">
                            <a:lumMod val="40000"/>
                            <a:lumOff val="60000"/>
                            <a:alpha val="90000"/>
                          </a:schemeClr>
                        </a:solidFill>
                        <a:prstDash val="solid"/>
                        <a:round/>
                        <a:headEnd type="none" w="med" len="med"/>
                        <a:tailEnd type="stealth" w="med" len="med"/>
                      </a:ln>
                    </a:spPr>
                    <a:style>
                      <a:lnRef idx="3">
                        <a:schemeClr val="accent4"/>
                      </a:lnRef>
                      <a:fillRef idx="0">
                        <a:schemeClr val="accent4"/>
                      </a:fillRef>
                      <a:effectRef idx="2">
                        <a:schemeClr val="accent4"/>
                      </a:effectRef>
                      <a:fontRef idx="minor">
                        <a:schemeClr val="tx1"/>
                      </a:fontRef>
                    </a:style>
                  </a:cxnSp>
                  <a:sp>
                    <a:nvSpPr>
                      <a:cNvPr id="24" name="TextBox 23"/>
                      <a:cNvSpPr txBox="1"/>
                    </a:nvSpPr>
                    <a:spPr>
                      <a:xfrm>
                        <a:off x="2757515" y="1611913"/>
                        <a:ext cx="1796323" cy="646331"/>
                      </a:xfrm>
                      <a:prstGeom prst="rect">
                        <a:avLst/>
                      </a:prstGeom>
                    </a:spPr>
                    <a:txSp>
                      <a:txBody>
                        <a:bodyPr wrap="none" rtlCol="0">
                          <a:spAutoFit/>
                        </a:bodyP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r>
                            <a:rPr lang="en-US" dirty="0" smtClean="0">
                              <a:solidFill>
                                <a:schemeClr val="tx1">
                                  <a:alpha val="85000"/>
                                </a:schemeClr>
                              </a:solidFill>
                            </a:rPr>
                            <a:t>Channel of North </a:t>
                          </a:r>
                        </a:p>
                        <a:p>
                          <a:r>
                            <a:rPr lang="en-US" dirty="0" smtClean="0">
                              <a:solidFill>
                                <a:schemeClr val="tx1">
                                  <a:alpha val="85000"/>
                                </a:schemeClr>
                              </a:solidFill>
                            </a:rPr>
                            <a:t>Llano 1974</a:t>
                          </a:r>
                          <a:endParaRPr lang="en-US" dirty="0">
                            <a:solidFill>
                              <a:schemeClr val="tx1">
                                <a:alpha val="85000"/>
                              </a:schemeClr>
                            </a:solidFill>
                          </a:endParaRPr>
                        </a:p>
                      </a:txBody>
                      <a:useSpRect/>
                    </a:txSp>
                    <a:style>
                      <a:lnRef idx="1">
                        <a:schemeClr val="accent1"/>
                      </a:lnRef>
                      <a:fillRef idx="2">
                        <a:schemeClr val="accent1"/>
                      </a:fillRef>
                      <a:effectRef idx="1">
                        <a:schemeClr val="accent1"/>
                      </a:effectRef>
                      <a:fontRef idx="minor">
                        <a:schemeClr val="dk1"/>
                      </a:fontRef>
                    </a:style>
                  </a:sp>
                  <a:cxnSp>
                    <a:nvCxnSpPr>
                      <a:cNvPr id="25" name="Straight Arrow Connector 24"/>
                      <a:cNvCxnSpPr/>
                    </a:nvCxnSpPr>
                    <a:spPr>
                      <a:xfrm rot="5400000">
                        <a:off x="3229489" y="2302128"/>
                        <a:ext cx="658158" cy="570389"/>
                      </a:xfrm>
                      <a:prstGeom prst="straightConnector1">
                        <a:avLst/>
                      </a:prstGeom>
                      <a:ln w="66675" cap="flat" cmpd="sng" algn="ctr">
                        <a:solidFill>
                          <a:schemeClr val="tx2">
                            <a:lumMod val="40000"/>
                            <a:lumOff val="60000"/>
                            <a:alpha val="90000"/>
                          </a:schemeClr>
                        </a:solidFill>
                        <a:prstDash val="solid"/>
                        <a:round/>
                        <a:headEnd type="none" w="med" len="med"/>
                        <a:tailEnd type="stealth" w="med" len="med"/>
                      </a:ln>
                    </a:spPr>
                    <a:style>
                      <a:lnRef idx="3">
                        <a:schemeClr val="accent4"/>
                      </a:lnRef>
                      <a:fillRef idx="0">
                        <a:schemeClr val="accent4"/>
                      </a:fillRef>
                      <a:effectRef idx="2">
                        <a:schemeClr val="accent4"/>
                      </a:effectRef>
                      <a:fontRef idx="minor">
                        <a:schemeClr val="tx1"/>
                      </a:fontRef>
                    </a:style>
                  </a:cxnSp>
                  <a:sp>
                    <a:nvSpPr>
                      <a:cNvPr id="28" name="TextBox 27"/>
                      <a:cNvSpPr txBox="1"/>
                    </a:nvSpPr>
                    <a:spPr>
                      <a:xfrm>
                        <a:off x="5087289" y="5994408"/>
                        <a:ext cx="1815934" cy="369332"/>
                      </a:xfrm>
                      <a:prstGeom prst="rect">
                        <a:avLst/>
                      </a:prstGeom>
                    </a:spPr>
                    <a:txSp>
                      <a:txBody>
                        <a:bodyPr wrap="none" rtlCol="0">
                          <a:spAutoFit/>
                        </a:bodyP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r>
                            <a:rPr lang="en-US" dirty="0" smtClean="0">
                              <a:solidFill>
                                <a:schemeClr val="tx1">
                                  <a:alpha val="85000"/>
                                </a:schemeClr>
                              </a:solidFill>
                            </a:rPr>
                            <a:t>South Llano River</a:t>
                          </a:r>
                          <a:endParaRPr lang="en-US" dirty="0">
                            <a:solidFill>
                              <a:schemeClr val="tx1">
                                <a:alpha val="85000"/>
                              </a:schemeClr>
                            </a:solidFill>
                          </a:endParaRPr>
                        </a:p>
                      </a:txBody>
                      <a:useSpRect/>
                    </a:txSp>
                    <a:style>
                      <a:lnRef idx="1">
                        <a:schemeClr val="accent1"/>
                      </a:lnRef>
                      <a:fillRef idx="2">
                        <a:schemeClr val="accent1"/>
                      </a:fillRef>
                      <a:effectRef idx="1">
                        <a:schemeClr val="accent1"/>
                      </a:effectRef>
                      <a:fontRef idx="minor">
                        <a:schemeClr val="dk1"/>
                      </a:fontRef>
                    </a:style>
                  </a:sp>
                  <a:cxnSp>
                    <a:nvCxnSpPr>
                      <a:cNvPr id="29" name="Straight Arrow Connector 28"/>
                      <a:cNvCxnSpPr/>
                    </a:nvCxnSpPr>
                    <a:spPr>
                      <a:xfrm rot="10800000" flipV="1">
                        <a:off x="4328631" y="6302497"/>
                        <a:ext cx="758659" cy="243726"/>
                      </a:xfrm>
                      <a:prstGeom prst="straightConnector1">
                        <a:avLst/>
                      </a:prstGeom>
                      <a:ln w="66675" cap="flat" cmpd="sng" algn="ctr">
                        <a:solidFill>
                          <a:schemeClr val="tx2">
                            <a:lumMod val="40000"/>
                            <a:lumOff val="60000"/>
                            <a:alpha val="90000"/>
                          </a:schemeClr>
                        </a:solidFill>
                        <a:prstDash val="solid"/>
                        <a:round/>
                        <a:headEnd type="none" w="med" len="med"/>
                        <a:tailEnd type="stealth" w="med" len="med"/>
                      </a:ln>
                    </a:spPr>
                    <a:style>
                      <a:lnRef idx="3">
                        <a:schemeClr val="accent4"/>
                      </a:lnRef>
                      <a:fillRef idx="0">
                        <a:schemeClr val="accent4"/>
                      </a:fillRef>
                      <a:effectRef idx="2">
                        <a:schemeClr val="accent4"/>
                      </a:effectRef>
                      <a:fontRef idx="minor">
                        <a:schemeClr val="tx1"/>
                      </a:fontRef>
                    </a:style>
                  </a:cxnSp>
                  <a:cxnSp>
                    <a:nvCxnSpPr>
                      <a:cNvPr id="41" name="Straight Connector 40"/>
                      <a:cNvCxnSpPr/>
                    </a:nvCxnSpPr>
                    <a:spPr>
                      <a:xfrm>
                        <a:off x="-64145" y="5853300"/>
                        <a:ext cx="2270765" cy="1588"/>
                      </a:xfrm>
                      <a:prstGeom prst="line">
                        <a:avLst/>
                      </a:prstGeom>
                      <a:ln w="76200" cap="flat" cmpd="sng" algn="ctr">
                        <a:solidFill>
                          <a:schemeClr val="tx1"/>
                        </a:solidFill>
                        <a:prstDash val="solid"/>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44" name="Straight Connector 43"/>
                      <a:cNvCxnSpPr/>
                    </a:nvCxnSpPr>
                    <a:spPr>
                      <a:xfrm rot="5400000" flipH="1" flipV="1">
                        <a:off x="-181530" y="5697428"/>
                        <a:ext cx="311744" cy="1588"/>
                      </a:xfrm>
                      <a:prstGeom prst="line">
                        <a:avLst/>
                      </a:prstGeom>
                      <a:ln w="50800" cap="flat" cmpd="sng" algn="ctr">
                        <a:solidFill>
                          <a:schemeClr val="tx1"/>
                        </a:solidFill>
                        <a:prstDash val="solid"/>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45" name="Straight Connector 44"/>
                      <a:cNvCxnSpPr/>
                    </a:nvCxnSpPr>
                    <a:spPr>
                      <a:xfrm rot="5400000" flipH="1" flipV="1">
                        <a:off x="2037125" y="5669836"/>
                        <a:ext cx="311744" cy="1588"/>
                      </a:xfrm>
                      <a:prstGeom prst="line">
                        <a:avLst/>
                      </a:prstGeom>
                      <a:ln w="50800" cap="flat" cmpd="sng" algn="ctr">
                        <a:solidFill>
                          <a:schemeClr val="tx1"/>
                        </a:solidFill>
                        <a:prstDash val="solid"/>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46" name="TextBox 45"/>
                      <a:cNvSpPr txBox="1"/>
                    </a:nvSpPr>
                    <a:spPr>
                      <a:xfrm>
                        <a:off x="1719115" y="5108946"/>
                        <a:ext cx="987847" cy="400110"/>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000" b="1" i="1" dirty="0" smtClean="0"/>
                            <a:t>800 ft</a:t>
                          </a:r>
                          <a:endParaRPr lang="en-US" sz="2000" b="1" i="1" dirty="0"/>
                        </a:p>
                      </a:txBody>
                      <a:useSpRect/>
                    </a:txSp>
                  </a:sp>
                </lc:lockedCanvas>
              </a:graphicData>
            </a:graphic>
          </wp:inline>
        </w:drawing>
      </w:r>
    </w:p>
    <w:p w:rsidR="000C47D4" w:rsidRPr="00D76CEF" w:rsidRDefault="000C47D4"/>
    <w:p w:rsidR="0045488E" w:rsidRDefault="0045488E">
      <w:pPr>
        <w:pStyle w:val="Heading1"/>
        <w:rPr>
          <w:rFonts w:ascii="Arial" w:hAnsi="Arial"/>
          <w:sz w:val="32"/>
        </w:rPr>
      </w:pPr>
      <w:r w:rsidRPr="0045488E">
        <w:rPr>
          <w:rFonts w:ascii="Arial" w:hAnsi="Arial"/>
          <w:sz w:val="32"/>
        </w:rPr>
        <w:t>Water Management</w:t>
      </w:r>
    </w:p>
    <w:p w:rsidR="000C47D4" w:rsidRPr="0045488E" w:rsidRDefault="000C47D4" w:rsidP="0045488E"/>
    <w:p w:rsidR="000C47D4" w:rsidRPr="00D76CEF" w:rsidRDefault="00425E06" w:rsidP="00057477">
      <w:pPr>
        <w:pStyle w:val="EDF-BodyCopy"/>
        <w:rPr>
          <w:sz w:val="24"/>
        </w:rPr>
      </w:pPr>
      <w:r w:rsidRPr="00D76CEF">
        <w:rPr>
          <w:sz w:val="24"/>
        </w:rPr>
        <w:t xml:space="preserve">There are a number of agencies and organizations that play a role in the natural resource issues of the </w:t>
      </w:r>
      <w:r w:rsidR="00B83C2D">
        <w:rPr>
          <w:sz w:val="24"/>
        </w:rPr>
        <w:t>headwater watersheds of the Llano</w:t>
      </w:r>
      <w:r w:rsidRPr="00D76CEF">
        <w:rPr>
          <w:sz w:val="24"/>
        </w:rPr>
        <w:t>. At the local level, groundwater conservation districts manage the groundwater resources of their respective counties. These district</w:t>
      </w:r>
      <w:r w:rsidR="00057477" w:rsidRPr="00D76CEF">
        <w:rPr>
          <w:sz w:val="24"/>
        </w:rPr>
        <w:t xml:space="preserve">s participate </w:t>
      </w:r>
      <w:r w:rsidRPr="00D76CEF">
        <w:rPr>
          <w:sz w:val="24"/>
        </w:rPr>
        <w:t xml:space="preserve">in a state-mandated Groundwater Management Area joint planning program. A regional water planning process also provides an opportunity for local stakeholders and the community to develop strategies for meeting regional water needs.  At the federal level, the Natural Resources Conservation Service, an agency within the U.S. Department of Agriculture, works with local and state soil and water conservation boards to coordinate land stewardship efforts in the area. </w:t>
      </w:r>
    </w:p>
    <w:p w:rsidR="000C47D4" w:rsidRPr="00D76CEF" w:rsidRDefault="000C47D4">
      <w:pPr>
        <w:pStyle w:val="Heading2"/>
        <w:rPr>
          <w:b/>
          <w:bCs/>
          <w:i w:val="0"/>
          <w:iCs w:val="0"/>
          <w:u w:val="single"/>
        </w:rPr>
      </w:pPr>
      <w:r w:rsidRPr="00D76CEF">
        <w:rPr>
          <w:b/>
          <w:bCs/>
          <w:i w:val="0"/>
          <w:iCs w:val="0"/>
          <w:u w:val="single"/>
        </w:rPr>
        <w:t>Groundwater Conservation Districts</w:t>
      </w:r>
    </w:p>
    <w:p w:rsidR="000C47D4" w:rsidRPr="00D76CEF" w:rsidRDefault="000C47D4"/>
    <w:p w:rsidR="000C47D4" w:rsidRPr="00D76CEF" w:rsidRDefault="000C47D4">
      <w:r w:rsidRPr="00D76CEF">
        <w:t xml:space="preserve">Groundwater districts are the preferred method for managing groundwater in the State. </w:t>
      </w:r>
      <w:r w:rsidRPr="00D76CEF">
        <w:rPr>
          <w:rStyle w:val="EndnoteReference"/>
        </w:rPr>
        <w:endnoteReference w:id="69"/>
      </w:r>
      <w:r w:rsidRPr="00D76CEF">
        <w:t xml:space="preserve"> There are three groundwater dis</w:t>
      </w:r>
      <w:r w:rsidR="00425E06" w:rsidRPr="00D76CEF">
        <w:t xml:space="preserve">tricts that encompass the three North and </w:t>
      </w:r>
      <w:r w:rsidRPr="00D76CEF">
        <w:t xml:space="preserve">South Llano River counties:  the Real-Edwards Conservation and Reclamation District (CRD), the Kimble County Groundwater Conservation District (GCD), and the Sutton County Underground Water Conservation District (UWCD).  All three of these Districts have rules and management plans that govern the groundwater resources in the counties. </w:t>
      </w:r>
      <w:r w:rsidRPr="00D76CEF">
        <w:rPr>
          <w:rStyle w:val="EndnoteReference"/>
        </w:rPr>
        <w:endnoteReference w:id="70"/>
      </w:r>
      <w:r w:rsidRPr="00D76CEF">
        <w:t xml:space="preserve">  State law does not allow groundwater conservation districts to require or issue permits for wells on tracts larger than 10 acres, which are used for domestic use and livestock watering and produce less than 25,000 gallons per day. </w:t>
      </w:r>
      <w:r w:rsidRPr="00D76CEF">
        <w:rPr>
          <w:rStyle w:val="EndnoteReference"/>
        </w:rPr>
        <w:endnoteReference w:id="71"/>
      </w:r>
      <w:r w:rsidRPr="00D76CEF">
        <w:t xml:space="preserve"> Most of the wells in all three districts are exempt from permitting.</w:t>
      </w:r>
    </w:p>
    <w:p w:rsidR="000C47D4" w:rsidRPr="00D76CEF" w:rsidRDefault="000C47D4"/>
    <w:p w:rsidR="000C47D4" w:rsidRPr="00D76CEF" w:rsidRDefault="000C47D4">
      <w:r w:rsidRPr="00D76CEF">
        <w:t>For those wells that do require a permit, several considerations apply. All three of the districts have a ‘drilled to density’ provision in their rules that prohibit too many wells or too much pumping from occurring within a one-square mile area or section (640 acres). These are outlined below in Table 5.  Kimble County allows four wells per square mile but has no total production limits; however, the maximum production from wells in the GCD is about 20 gallons per minute</w:t>
      </w:r>
      <w:r w:rsidR="005402D7" w:rsidRPr="00D76CEF">
        <w:t xml:space="preserve"> and </w:t>
      </w:r>
      <w:r w:rsidR="003D13E8" w:rsidRPr="00D76CEF">
        <w:t>production limits can be applied if nearby wells are impacted</w:t>
      </w:r>
      <w:r w:rsidRPr="00D76CEF">
        <w:t xml:space="preserve">. </w:t>
      </w:r>
      <w:r w:rsidRPr="00D76CEF">
        <w:rPr>
          <w:rStyle w:val="EndnoteReference"/>
        </w:rPr>
        <w:endnoteReference w:id="72"/>
      </w:r>
      <w:r w:rsidRPr="00D76CEF">
        <w:t xml:space="preserve">  Sutton County allows eight wells per section, but limits total production from all wells in the section to 640 gallons per minute. The Real-Edwards District restricts production to no more than 10 gallons per minute per contiguous acre, with a maximum production per acre in a section of 2 acre-feet. With spacing and total production requirements, this limits production to about 3,200 gallons per minute, or 1,280 acre-feet per year. </w:t>
      </w:r>
    </w:p>
    <w:p w:rsidR="000C47D4" w:rsidRPr="00D76CEF" w:rsidRDefault="000C47D4"/>
    <w:p w:rsidR="000C47D4" w:rsidRPr="00D76CEF" w:rsidRDefault="0045488E">
      <w:pPr>
        <w:pStyle w:val="Header"/>
        <w:jc w:val="center"/>
        <w:rPr>
          <w:b/>
          <w:bCs/>
        </w:rPr>
      </w:pPr>
      <w:r>
        <w:rPr>
          <w:b/>
          <w:bCs/>
        </w:rPr>
        <w:t>Table 6</w:t>
      </w:r>
      <w:r w:rsidR="000C47D4" w:rsidRPr="00D76CEF">
        <w:rPr>
          <w:b/>
          <w:bCs/>
        </w:rPr>
        <w:t>. Groundwater Production Limits for Groundwater Districts</w:t>
      </w:r>
    </w:p>
    <w:tbl>
      <w:tblPr>
        <w:tblW w:w="7121" w:type="dxa"/>
        <w:tblInd w:w="750" w:type="dxa"/>
        <w:tblCellMar>
          <w:left w:w="0" w:type="dxa"/>
          <w:right w:w="0" w:type="dxa"/>
        </w:tblCellMar>
        <w:tblLook w:val="0000"/>
      </w:tblPr>
      <w:tblGrid>
        <w:gridCol w:w="1307"/>
        <w:gridCol w:w="1397"/>
        <w:gridCol w:w="50"/>
        <w:gridCol w:w="2195"/>
        <w:gridCol w:w="1523"/>
        <w:gridCol w:w="649"/>
      </w:tblGrid>
      <w:tr w:rsidR="000C47D4" w:rsidRPr="00D76CEF">
        <w:trPr>
          <w:trHeight w:val="255"/>
        </w:trPr>
        <w:tc>
          <w:tcPr>
            <w:tcW w:w="1001" w:type="dxa"/>
            <w:tcBorders>
              <w:top w:val="single" w:sz="8" w:space="0" w:color="auto"/>
              <w:left w:val="single" w:sz="8" w:space="0" w:color="auto"/>
              <w:bottom w:val="nil"/>
              <w:right w:val="nil"/>
            </w:tcBorders>
            <w:noWrap/>
            <w:tcMar>
              <w:top w:w="15" w:type="dxa"/>
              <w:left w:w="15" w:type="dxa"/>
              <w:bottom w:w="0" w:type="dxa"/>
              <w:right w:w="15" w:type="dxa"/>
            </w:tcMar>
            <w:vAlign w:val="bottom"/>
          </w:tcPr>
          <w:p w:rsidR="000C47D4" w:rsidRPr="00D76CEF" w:rsidRDefault="000C47D4">
            <w:pPr>
              <w:jc w:val="center"/>
              <w:rPr>
                <w:rFonts w:cs="Arial"/>
                <w:b/>
                <w:bCs/>
                <w:szCs w:val="20"/>
              </w:rPr>
            </w:pPr>
            <w:r w:rsidRPr="00D76CEF">
              <w:rPr>
                <w:rFonts w:cs="Arial"/>
                <w:b/>
                <w:bCs/>
                <w:szCs w:val="20"/>
              </w:rPr>
              <w:t>District</w:t>
            </w:r>
          </w:p>
        </w:tc>
        <w:tc>
          <w:tcPr>
            <w:tcW w:w="1085" w:type="dxa"/>
            <w:tcBorders>
              <w:top w:val="single" w:sz="8" w:space="0" w:color="auto"/>
              <w:left w:val="nil"/>
              <w:bottom w:val="nil"/>
              <w:right w:val="single" w:sz="4" w:space="0" w:color="auto"/>
            </w:tcBorders>
            <w:noWrap/>
            <w:tcMar>
              <w:top w:w="15" w:type="dxa"/>
              <w:left w:w="15" w:type="dxa"/>
              <w:bottom w:w="0" w:type="dxa"/>
              <w:right w:w="15" w:type="dxa"/>
            </w:tcMar>
            <w:vAlign w:val="bottom"/>
          </w:tcPr>
          <w:p w:rsidR="000C47D4" w:rsidRPr="00D76CEF" w:rsidRDefault="000C47D4">
            <w:pPr>
              <w:jc w:val="center"/>
              <w:rPr>
                <w:rFonts w:cs="Arial"/>
                <w:szCs w:val="20"/>
              </w:rPr>
            </w:pPr>
          </w:p>
        </w:tc>
        <w:tc>
          <w:tcPr>
            <w:tcW w:w="5035" w:type="dxa"/>
            <w:gridSpan w:val="4"/>
            <w:tcBorders>
              <w:top w:val="single" w:sz="8" w:space="0" w:color="auto"/>
              <w:left w:val="nil"/>
              <w:bottom w:val="nil"/>
              <w:right w:val="single" w:sz="8" w:space="0" w:color="000000"/>
            </w:tcBorders>
            <w:noWrap/>
            <w:tcMar>
              <w:top w:w="15" w:type="dxa"/>
              <w:left w:w="15" w:type="dxa"/>
              <w:bottom w:w="0" w:type="dxa"/>
              <w:right w:w="15" w:type="dxa"/>
            </w:tcMar>
            <w:vAlign w:val="bottom"/>
          </w:tcPr>
          <w:p w:rsidR="000C47D4" w:rsidRPr="00D76CEF" w:rsidRDefault="000C47D4">
            <w:pPr>
              <w:jc w:val="center"/>
              <w:rPr>
                <w:rFonts w:cs="Arial"/>
                <w:b/>
                <w:bCs/>
                <w:szCs w:val="20"/>
              </w:rPr>
            </w:pPr>
            <w:r w:rsidRPr="00D76CEF">
              <w:rPr>
                <w:rFonts w:cs="Arial"/>
                <w:b/>
                <w:bCs/>
                <w:i/>
                <w:iCs/>
                <w:szCs w:val="20"/>
              </w:rPr>
              <w:t xml:space="preserve">Groundwater Production Limits Per Section </w:t>
            </w:r>
            <w:r w:rsidRPr="00D76CEF">
              <w:rPr>
                <w:rStyle w:val="EndnoteReference"/>
                <w:rFonts w:cs="Arial"/>
                <w:b/>
                <w:bCs/>
                <w:i/>
                <w:iCs/>
                <w:szCs w:val="20"/>
              </w:rPr>
              <w:endnoteReference w:id="73"/>
            </w:r>
          </w:p>
        </w:tc>
      </w:tr>
      <w:tr w:rsidR="000C47D4" w:rsidRPr="00D76CEF">
        <w:trPr>
          <w:trHeight w:val="255"/>
        </w:trPr>
        <w:tc>
          <w:tcPr>
            <w:tcW w:w="0" w:type="auto"/>
            <w:tcBorders>
              <w:top w:val="nil"/>
              <w:left w:val="single" w:sz="8" w:space="0" w:color="auto"/>
              <w:bottom w:val="nil"/>
              <w:right w:val="nil"/>
            </w:tcBorders>
            <w:noWrap/>
            <w:tcMar>
              <w:top w:w="15" w:type="dxa"/>
              <w:left w:w="15" w:type="dxa"/>
              <w:bottom w:w="0" w:type="dxa"/>
              <w:right w:w="15" w:type="dxa"/>
            </w:tcMar>
            <w:vAlign w:val="bottom"/>
          </w:tcPr>
          <w:p w:rsidR="000C47D4" w:rsidRPr="00D76CEF" w:rsidRDefault="000C47D4">
            <w:pPr>
              <w:jc w:val="center"/>
              <w:rPr>
                <w:rFonts w:cs="Arial"/>
                <w:b/>
                <w:bCs/>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C47D4" w:rsidRPr="00D76CEF" w:rsidRDefault="000C47D4">
            <w:pPr>
              <w:jc w:val="center"/>
              <w:rPr>
                <w:rFonts w:cs="Arial"/>
                <w:szCs w:val="20"/>
              </w:rPr>
            </w:pPr>
          </w:p>
        </w:tc>
        <w:tc>
          <w:tcPr>
            <w:tcW w:w="0" w:type="auto"/>
            <w:tcBorders>
              <w:top w:val="nil"/>
              <w:left w:val="nil"/>
              <w:bottom w:val="nil"/>
              <w:right w:val="nil"/>
            </w:tcBorders>
            <w:noWrap/>
            <w:tcMar>
              <w:top w:w="15" w:type="dxa"/>
              <w:left w:w="15" w:type="dxa"/>
              <w:bottom w:w="0" w:type="dxa"/>
              <w:right w:w="15" w:type="dxa"/>
            </w:tcMar>
            <w:vAlign w:val="bottom"/>
          </w:tcPr>
          <w:p w:rsidR="000C47D4" w:rsidRPr="00D76CEF" w:rsidRDefault="000C47D4">
            <w:pPr>
              <w:jc w:val="center"/>
              <w:rPr>
                <w:rFonts w:cs="Arial"/>
                <w:i/>
                <w:iCs/>
                <w:szCs w:val="20"/>
              </w:rPr>
            </w:pPr>
          </w:p>
        </w:tc>
        <w:tc>
          <w:tcPr>
            <w:tcW w:w="0" w:type="auto"/>
            <w:tcBorders>
              <w:top w:val="nil"/>
              <w:left w:val="nil"/>
              <w:bottom w:val="nil"/>
              <w:right w:val="nil"/>
            </w:tcBorders>
            <w:noWrap/>
            <w:tcMar>
              <w:top w:w="15" w:type="dxa"/>
              <w:left w:w="15" w:type="dxa"/>
              <w:bottom w:w="0" w:type="dxa"/>
              <w:right w:w="15" w:type="dxa"/>
            </w:tcMar>
            <w:vAlign w:val="bottom"/>
          </w:tcPr>
          <w:p w:rsidR="000C47D4" w:rsidRPr="00D76CEF" w:rsidRDefault="000C47D4">
            <w:pPr>
              <w:jc w:val="center"/>
              <w:rPr>
                <w:rFonts w:cs="Arial"/>
                <w:b/>
                <w:bCs/>
                <w:i/>
                <w:iCs/>
                <w:szCs w:val="20"/>
              </w:rPr>
            </w:pPr>
            <w:r w:rsidRPr="00D76CEF">
              <w:rPr>
                <w:rFonts w:cs="Arial"/>
                <w:b/>
                <w:bCs/>
                <w:i/>
                <w:iCs/>
                <w:szCs w:val="20"/>
              </w:rPr>
              <w:t>(</w:t>
            </w:r>
            <w:proofErr w:type="gramStart"/>
            <w:r w:rsidRPr="00D76CEF">
              <w:rPr>
                <w:rFonts w:cs="Arial"/>
                <w:b/>
                <w:bCs/>
                <w:i/>
                <w:iCs/>
                <w:szCs w:val="20"/>
              </w:rPr>
              <w:t>gallons</w:t>
            </w:r>
            <w:proofErr w:type="gramEnd"/>
            <w:r w:rsidRPr="00D76CEF">
              <w:rPr>
                <w:rFonts w:cs="Arial"/>
                <w:b/>
                <w:bCs/>
                <w:i/>
                <w:iCs/>
                <w:szCs w:val="20"/>
              </w:rPr>
              <w:t>/minute)</w:t>
            </w:r>
          </w:p>
        </w:tc>
        <w:tc>
          <w:tcPr>
            <w:tcW w:w="0" w:type="auto"/>
            <w:tcBorders>
              <w:top w:val="nil"/>
              <w:left w:val="nil"/>
              <w:bottom w:val="nil"/>
              <w:right w:val="nil"/>
            </w:tcBorders>
            <w:noWrap/>
            <w:tcMar>
              <w:top w:w="15" w:type="dxa"/>
              <w:left w:w="15" w:type="dxa"/>
              <w:bottom w:w="0" w:type="dxa"/>
              <w:right w:w="15" w:type="dxa"/>
            </w:tcMar>
            <w:vAlign w:val="bottom"/>
          </w:tcPr>
          <w:p w:rsidR="000C47D4" w:rsidRPr="00D76CEF" w:rsidRDefault="000C47D4">
            <w:pPr>
              <w:jc w:val="center"/>
              <w:rPr>
                <w:rFonts w:cs="Arial"/>
                <w:b/>
                <w:bCs/>
                <w:i/>
                <w:iCs/>
                <w:szCs w:val="20"/>
              </w:rPr>
            </w:pPr>
            <w:r w:rsidRPr="00D76CEF">
              <w:rPr>
                <w:rFonts w:cs="Arial"/>
                <w:b/>
                <w:bCs/>
                <w:i/>
                <w:iCs/>
                <w:szCs w:val="20"/>
              </w:rPr>
              <w:t>(</w:t>
            </w:r>
            <w:proofErr w:type="gramStart"/>
            <w:r w:rsidRPr="00D76CEF">
              <w:rPr>
                <w:rFonts w:cs="Arial"/>
                <w:b/>
                <w:bCs/>
                <w:i/>
                <w:iCs/>
                <w:szCs w:val="20"/>
              </w:rPr>
              <w:t>acre</w:t>
            </w:r>
            <w:proofErr w:type="gramEnd"/>
            <w:r w:rsidRPr="00D76CEF">
              <w:rPr>
                <w:rFonts w:cs="Arial"/>
                <w:b/>
                <w:bCs/>
                <w:i/>
                <w:iCs/>
                <w:szCs w:val="20"/>
              </w:rPr>
              <w:t>-feet/year)</w:t>
            </w:r>
          </w:p>
        </w:tc>
        <w:tc>
          <w:tcPr>
            <w:tcW w:w="631" w:type="dxa"/>
            <w:tcBorders>
              <w:top w:val="nil"/>
              <w:left w:val="nil"/>
              <w:bottom w:val="nil"/>
              <w:right w:val="single" w:sz="8" w:space="0" w:color="auto"/>
            </w:tcBorders>
            <w:noWrap/>
            <w:tcMar>
              <w:top w:w="15" w:type="dxa"/>
              <w:left w:w="15" w:type="dxa"/>
              <w:bottom w:w="0" w:type="dxa"/>
              <w:right w:w="15" w:type="dxa"/>
            </w:tcMar>
            <w:vAlign w:val="bottom"/>
          </w:tcPr>
          <w:p w:rsidR="000C47D4" w:rsidRPr="00D76CEF" w:rsidRDefault="000C47D4">
            <w:pPr>
              <w:jc w:val="center"/>
              <w:rPr>
                <w:rFonts w:cs="Arial"/>
                <w:i/>
                <w:iCs/>
                <w:szCs w:val="20"/>
              </w:rPr>
            </w:pPr>
          </w:p>
        </w:tc>
      </w:tr>
      <w:tr w:rsidR="000C47D4" w:rsidRPr="00D76CEF">
        <w:trPr>
          <w:trHeight w:val="360"/>
        </w:trPr>
        <w:tc>
          <w:tcPr>
            <w:tcW w:w="0" w:type="auto"/>
            <w:gridSpan w:val="2"/>
            <w:tcBorders>
              <w:top w:val="single" w:sz="4" w:space="0" w:color="auto"/>
              <w:left w:val="single" w:sz="8" w:space="0" w:color="auto"/>
              <w:bottom w:val="single" w:sz="4" w:space="0" w:color="auto"/>
              <w:right w:val="single" w:sz="4" w:space="0" w:color="000000"/>
            </w:tcBorders>
            <w:noWrap/>
            <w:tcMar>
              <w:top w:w="15" w:type="dxa"/>
              <w:left w:w="15" w:type="dxa"/>
              <w:bottom w:w="0" w:type="dxa"/>
              <w:right w:w="15" w:type="dxa"/>
            </w:tcMar>
            <w:vAlign w:val="bottom"/>
          </w:tcPr>
          <w:p w:rsidR="000C47D4" w:rsidRPr="00D76CEF" w:rsidRDefault="000C47D4">
            <w:pPr>
              <w:jc w:val="center"/>
              <w:rPr>
                <w:rFonts w:cs="Arial"/>
                <w:b/>
                <w:bCs/>
                <w:szCs w:val="20"/>
              </w:rPr>
            </w:pPr>
            <w:r w:rsidRPr="00D76CEF">
              <w:rPr>
                <w:rFonts w:cs="Arial"/>
                <w:b/>
                <w:bCs/>
                <w:szCs w:val="20"/>
              </w:rPr>
              <w:t>Real-Edwards CRD</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rsidR="000C47D4" w:rsidRPr="00D76CEF" w:rsidRDefault="000C47D4">
            <w:pPr>
              <w:jc w:val="center"/>
              <w:rPr>
                <w:rFonts w:cs="Arial"/>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C47D4" w:rsidRPr="00D76CEF" w:rsidRDefault="000C47D4">
            <w:pPr>
              <w:jc w:val="center"/>
              <w:rPr>
                <w:rFonts w:cs="Arial"/>
                <w:szCs w:val="20"/>
              </w:rPr>
            </w:pPr>
            <w:r w:rsidRPr="00D76CEF">
              <w:rPr>
                <w:rFonts w:cs="Arial"/>
                <w:szCs w:val="20"/>
              </w:rPr>
              <w:t>~3,200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rsidR="000C47D4" w:rsidRPr="00D76CEF" w:rsidRDefault="000C47D4">
            <w:pPr>
              <w:jc w:val="center"/>
              <w:rPr>
                <w:rFonts w:cs="Arial"/>
                <w:szCs w:val="20"/>
              </w:rPr>
            </w:pPr>
            <w:r w:rsidRPr="00D76CEF">
              <w:rPr>
                <w:rFonts w:cs="Arial"/>
                <w:szCs w:val="20"/>
              </w:rPr>
              <w:t>1,280</w:t>
            </w:r>
          </w:p>
        </w:tc>
        <w:tc>
          <w:tcPr>
            <w:tcW w:w="631"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C47D4" w:rsidRPr="00D76CEF" w:rsidRDefault="000C47D4">
            <w:pPr>
              <w:jc w:val="center"/>
              <w:rPr>
                <w:rFonts w:cs="Arial"/>
                <w:szCs w:val="20"/>
              </w:rPr>
            </w:pPr>
          </w:p>
        </w:tc>
      </w:tr>
      <w:tr w:rsidR="000C47D4" w:rsidRPr="00D76CEF">
        <w:trPr>
          <w:trHeight w:val="345"/>
        </w:trPr>
        <w:tc>
          <w:tcPr>
            <w:tcW w:w="0" w:type="auto"/>
            <w:gridSpan w:val="2"/>
            <w:tcBorders>
              <w:top w:val="single" w:sz="4" w:space="0" w:color="auto"/>
              <w:left w:val="single" w:sz="8" w:space="0" w:color="auto"/>
              <w:bottom w:val="single" w:sz="4" w:space="0" w:color="auto"/>
              <w:right w:val="single" w:sz="4" w:space="0" w:color="000000"/>
            </w:tcBorders>
            <w:noWrap/>
            <w:tcMar>
              <w:top w:w="15" w:type="dxa"/>
              <w:left w:w="15" w:type="dxa"/>
              <w:bottom w:w="0" w:type="dxa"/>
              <w:right w:w="15" w:type="dxa"/>
            </w:tcMar>
            <w:vAlign w:val="bottom"/>
          </w:tcPr>
          <w:p w:rsidR="000C47D4" w:rsidRPr="00D76CEF" w:rsidRDefault="000C47D4">
            <w:pPr>
              <w:jc w:val="center"/>
              <w:rPr>
                <w:rFonts w:cs="Arial"/>
                <w:b/>
                <w:bCs/>
                <w:szCs w:val="20"/>
              </w:rPr>
            </w:pPr>
            <w:r w:rsidRPr="00D76CEF">
              <w:rPr>
                <w:rFonts w:cs="Arial"/>
                <w:b/>
                <w:bCs/>
                <w:szCs w:val="20"/>
              </w:rPr>
              <w:t>Sutton County UWCD</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C47D4" w:rsidRPr="00D76CEF" w:rsidRDefault="000C47D4">
            <w:pPr>
              <w:jc w:val="center"/>
              <w:rPr>
                <w:rFonts w:cs="Arial"/>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47D4" w:rsidRPr="00D76CEF" w:rsidRDefault="000C47D4">
            <w:pPr>
              <w:jc w:val="center"/>
              <w:rPr>
                <w:rFonts w:cs="Arial"/>
                <w:szCs w:val="20"/>
              </w:rPr>
            </w:pPr>
            <w:r w:rsidRPr="00D76CEF">
              <w:rPr>
                <w:rFonts w:cs="Arial"/>
                <w:szCs w:val="20"/>
              </w:rPr>
              <w:t>640</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C47D4" w:rsidRPr="00D76CEF" w:rsidRDefault="000C47D4">
            <w:pPr>
              <w:jc w:val="center"/>
              <w:rPr>
                <w:rFonts w:cs="Arial"/>
                <w:szCs w:val="20"/>
              </w:rPr>
            </w:pPr>
            <w:r w:rsidRPr="00D76CEF">
              <w:rPr>
                <w:rFonts w:cs="Arial"/>
                <w:szCs w:val="20"/>
              </w:rPr>
              <w:t>1,032</w:t>
            </w:r>
          </w:p>
        </w:tc>
        <w:tc>
          <w:tcPr>
            <w:tcW w:w="631"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C47D4" w:rsidRPr="00D76CEF" w:rsidRDefault="000C47D4">
            <w:pPr>
              <w:jc w:val="center"/>
              <w:rPr>
                <w:rFonts w:cs="Arial"/>
                <w:szCs w:val="20"/>
              </w:rPr>
            </w:pPr>
          </w:p>
        </w:tc>
      </w:tr>
      <w:tr w:rsidR="000C47D4" w:rsidRPr="00D76CEF">
        <w:trPr>
          <w:trHeight w:val="390"/>
        </w:trPr>
        <w:tc>
          <w:tcPr>
            <w:tcW w:w="0" w:type="auto"/>
            <w:gridSpan w:val="2"/>
            <w:tcBorders>
              <w:top w:val="nil"/>
              <w:left w:val="single" w:sz="8" w:space="0" w:color="auto"/>
              <w:bottom w:val="single" w:sz="8" w:space="0" w:color="auto"/>
              <w:right w:val="single" w:sz="4" w:space="0" w:color="000000"/>
            </w:tcBorders>
            <w:noWrap/>
            <w:tcMar>
              <w:top w:w="15" w:type="dxa"/>
              <w:left w:w="15" w:type="dxa"/>
              <w:bottom w:w="0" w:type="dxa"/>
              <w:right w:w="15" w:type="dxa"/>
            </w:tcMar>
            <w:vAlign w:val="bottom"/>
          </w:tcPr>
          <w:p w:rsidR="000C47D4" w:rsidRPr="00D76CEF" w:rsidRDefault="000C47D4">
            <w:pPr>
              <w:jc w:val="center"/>
              <w:rPr>
                <w:rFonts w:cs="Arial"/>
                <w:b/>
                <w:bCs/>
                <w:szCs w:val="20"/>
              </w:rPr>
            </w:pPr>
            <w:r w:rsidRPr="00D76CEF">
              <w:rPr>
                <w:rFonts w:cs="Arial"/>
                <w:b/>
                <w:bCs/>
                <w:szCs w:val="20"/>
              </w:rPr>
              <w:t>Kimble County GCD</w:t>
            </w:r>
          </w:p>
        </w:tc>
        <w:tc>
          <w:tcPr>
            <w:tcW w:w="0" w:type="auto"/>
            <w:tcBorders>
              <w:top w:val="nil"/>
              <w:left w:val="nil"/>
              <w:bottom w:val="single" w:sz="8" w:space="0" w:color="auto"/>
              <w:right w:val="nil"/>
            </w:tcBorders>
            <w:noWrap/>
            <w:tcMar>
              <w:top w:w="15" w:type="dxa"/>
              <w:left w:w="15" w:type="dxa"/>
              <w:bottom w:w="0" w:type="dxa"/>
              <w:right w:w="15" w:type="dxa"/>
            </w:tcMar>
            <w:vAlign w:val="bottom"/>
          </w:tcPr>
          <w:p w:rsidR="000C47D4" w:rsidRPr="00D76CEF" w:rsidRDefault="000C47D4">
            <w:pPr>
              <w:jc w:val="center"/>
              <w:rPr>
                <w:rFonts w:cs="Arial"/>
                <w:szCs w:val="20"/>
              </w:rPr>
            </w:pP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0C47D4" w:rsidRPr="00D76CEF" w:rsidRDefault="000C47D4">
            <w:pPr>
              <w:jc w:val="center"/>
              <w:rPr>
                <w:rFonts w:cs="Arial"/>
                <w:szCs w:val="20"/>
              </w:rPr>
            </w:pPr>
            <w:proofErr w:type="gramStart"/>
            <w:r w:rsidRPr="00D76CEF">
              <w:rPr>
                <w:rFonts w:cs="Arial"/>
                <w:szCs w:val="20"/>
              </w:rPr>
              <w:t>none</w:t>
            </w:r>
            <w:proofErr w:type="gramEnd"/>
          </w:p>
        </w:tc>
        <w:tc>
          <w:tcPr>
            <w:tcW w:w="0" w:type="auto"/>
            <w:tcBorders>
              <w:top w:val="nil"/>
              <w:left w:val="nil"/>
              <w:bottom w:val="single" w:sz="8" w:space="0" w:color="auto"/>
              <w:right w:val="nil"/>
            </w:tcBorders>
            <w:noWrap/>
            <w:tcMar>
              <w:top w:w="15" w:type="dxa"/>
              <w:left w:w="15" w:type="dxa"/>
              <w:bottom w:w="0" w:type="dxa"/>
              <w:right w:w="15" w:type="dxa"/>
            </w:tcMar>
            <w:vAlign w:val="bottom"/>
          </w:tcPr>
          <w:p w:rsidR="000C47D4" w:rsidRPr="00D76CEF" w:rsidRDefault="000C47D4">
            <w:pPr>
              <w:jc w:val="center"/>
              <w:rPr>
                <w:rFonts w:cs="Arial"/>
                <w:szCs w:val="20"/>
              </w:rPr>
            </w:pPr>
            <w:proofErr w:type="gramStart"/>
            <w:r w:rsidRPr="00D76CEF">
              <w:rPr>
                <w:rFonts w:cs="Arial"/>
                <w:szCs w:val="20"/>
              </w:rPr>
              <w:t>none</w:t>
            </w:r>
            <w:proofErr w:type="gramEnd"/>
          </w:p>
        </w:tc>
        <w:tc>
          <w:tcPr>
            <w:tcW w:w="631"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0C47D4" w:rsidRPr="00D76CEF" w:rsidRDefault="000C47D4">
            <w:pPr>
              <w:jc w:val="center"/>
              <w:rPr>
                <w:rFonts w:cs="Arial"/>
                <w:szCs w:val="20"/>
              </w:rPr>
            </w:pPr>
          </w:p>
        </w:tc>
      </w:tr>
    </w:tbl>
    <w:p w:rsidR="000C47D4" w:rsidRPr="00D76CEF" w:rsidRDefault="000C47D4"/>
    <w:p w:rsidR="000C47D4" w:rsidRPr="00D76CEF" w:rsidRDefault="000C47D4">
      <w:r w:rsidRPr="00D76CEF">
        <w:t xml:space="preserve">By law, districts cannot impose more restrictive production limits on groundwater exports outside the boundaries of a district, </w:t>
      </w:r>
      <w:r w:rsidRPr="00D76CEF">
        <w:rPr>
          <w:rStyle w:val="EndnoteReference"/>
        </w:rPr>
        <w:endnoteReference w:id="74"/>
      </w:r>
      <w:r w:rsidRPr="00D76CEF">
        <w:t xml:space="preserve"> but they can require an export permit. Kimble and Real-Edwards Districts require such a permit. In the granting of an export permit, both districts require for consideration, the total groundwater availability in the district, any impacts to nearby well owners, the projected effect on aquifer conditions, the indirect costs and social impacts associated with the transfer, and other considerations related to the public welfare and management of natural resources in the District. The Real-Edwards District, in the transfer permit application process, also requires a mitigation plan to offset the adverse social, economic or hydrologic impacts within the District. </w:t>
      </w:r>
    </w:p>
    <w:p w:rsidR="000C47D4" w:rsidRPr="00D76CEF" w:rsidRDefault="000C47D4"/>
    <w:p w:rsidR="000C47D4" w:rsidRPr="00D76CEF" w:rsidRDefault="000C47D4">
      <w:pPr>
        <w:pStyle w:val="Heading2"/>
        <w:rPr>
          <w:b/>
          <w:bCs/>
          <w:i w:val="0"/>
          <w:iCs w:val="0"/>
          <w:u w:val="single"/>
        </w:rPr>
      </w:pPr>
      <w:r w:rsidRPr="00D76CEF">
        <w:rPr>
          <w:b/>
          <w:bCs/>
          <w:i w:val="0"/>
          <w:iCs w:val="0"/>
          <w:u w:val="single"/>
        </w:rPr>
        <w:t>Groundwater Management Area Joint-Planning Process</w:t>
      </w:r>
    </w:p>
    <w:p w:rsidR="003D13E8" w:rsidRPr="00D76CEF" w:rsidRDefault="003D13E8"/>
    <w:p w:rsidR="00E07571" w:rsidRPr="00D76CEF" w:rsidRDefault="003D13E8" w:rsidP="003D13E8">
      <w:pPr>
        <w:pStyle w:val="EDF-BodyCopy"/>
        <w:rPr>
          <w:sz w:val="24"/>
        </w:rPr>
      </w:pPr>
      <w:r w:rsidRPr="00D76CEF">
        <w:rPr>
          <w:sz w:val="24"/>
        </w:rPr>
        <w:t xml:space="preserve">Until recently, the amount of water actually available for withdrawal in each aquifer and groundwater district was not definitively quantified. In an effort to better coordinate the determination of availability, the state initiated a process in 2005 that requires groundwater districts within a designated groundwater management area (GMA) to meet on a regular basis, share management plans, and participate in joint planning for the various aquifers within the GMA boundaries. </w:t>
      </w:r>
      <w:r w:rsidRPr="00D76CEF">
        <w:rPr>
          <w:sz w:val="24"/>
          <w:szCs w:val="20"/>
        </w:rPr>
        <w:t>It also requires that each of the groundwater management areas adopt "desired future conditions" for each aquifer within the GMA</w:t>
      </w:r>
      <w:r w:rsidRPr="00D76CEF">
        <w:rPr>
          <w:rFonts w:cs="Arial"/>
          <w:sz w:val="24"/>
          <w:szCs w:val="20"/>
        </w:rPr>
        <w:t xml:space="preserve">. </w:t>
      </w:r>
      <w:r w:rsidR="00E07571" w:rsidRPr="00D76CEF">
        <w:rPr>
          <w:sz w:val="24"/>
        </w:rPr>
        <w:t xml:space="preserve">All three groundwater districts in the </w:t>
      </w:r>
      <w:r w:rsidR="00B83C2D">
        <w:rPr>
          <w:sz w:val="24"/>
        </w:rPr>
        <w:t>North and South Llano</w:t>
      </w:r>
      <w:r w:rsidR="00E07571" w:rsidRPr="00D76CEF">
        <w:rPr>
          <w:sz w:val="24"/>
        </w:rPr>
        <w:t xml:space="preserve"> watersheds are in Groundwater Management Area 7 (GMA-7), which coordinates efforts for the Edwards-Trinity (Plateau) aquifer.</w:t>
      </w:r>
    </w:p>
    <w:p w:rsidR="003D13E8" w:rsidRPr="00D76CEF" w:rsidRDefault="003D13E8" w:rsidP="003D13E8">
      <w:pPr>
        <w:pStyle w:val="EDF-BodyCopy"/>
        <w:rPr>
          <w:sz w:val="24"/>
        </w:rPr>
      </w:pPr>
      <w:r w:rsidRPr="00D76CEF">
        <w:rPr>
          <w:sz w:val="24"/>
        </w:rPr>
        <w:t xml:space="preserve">As part of the process of adopting a desired future condition (DFC) for an aquifer, the GMA member districts determine their goal for the condition of the aquifer 50 years into the future.  </w:t>
      </w:r>
      <w:r w:rsidRPr="00D76CEF">
        <w:rPr>
          <w:rStyle w:val="body1"/>
          <w:rFonts w:ascii="Georgia" w:hAnsi="Georgia"/>
          <w:sz w:val="24"/>
        </w:rPr>
        <w:t xml:space="preserve">A goal can be a particular groundwater level, level of water quality, volume of spring flows, etc. </w:t>
      </w:r>
      <w:r w:rsidRPr="00D76CEF">
        <w:rPr>
          <w:sz w:val="24"/>
        </w:rPr>
        <w:t>Based on this DFC, the Texas Water Development Board (TWDB) determines the physical volume of groundwater a</w:t>
      </w:r>
      <w:r w:rsidR="00E07571" w:rsidRPr="00D76CEF">
        <w:rPr>
          <w:sz w:val="24"/>
        </w:rPr>
        <w:t>vailable from the aquifer. GMA-7</w:t>
      </w:r>
      <w:r w:rsidR="003559C6" w:rsidRPr="00D76CEF">
        <w:rPr>
          <w:sz w:val="24"/>
        </w:rPr>
        <w:t xml:space="preserve"> </w:t>
      </w:r>
      <w:r w:rsidRPr="00D76CEF">
        <w:rPr>
          <w:sz w:val="24"/>
        </w:rPr>
        <w:t xml:space="preserve">adopted a desired aquifer condition allowing </w:t>
      </w:r>
      <w:r w:rsidR="003559C6" w:rsidRPr="00D76CEF">
        <w:rPr>
          <w:sz w:val="24"/>
        </w:rPr>
        <w:t>for an average drawdown of seven feet for the Edwards-Trinity (Plateau) aquifer through the year 2060.  The Modeled</w:t>
      </w:r>
      <w:r w:rsidRPr="00D76CEF">
        <w:rPr>
          <w:sz w:val="24"/>
        </w:rPr>
        <w:t xml:space="preserve"> Available Groundwater for </w:t>
      </w:r>
      <w:r w:rsidR="003559C6" w:rsidRPr="00D76CEF">
        <w:rPr>
          <w:sz w:val="24"/>
        </w:rPr>
        <w:t>three groundwater districts</w:t>
      </w:r>
      <w:r w:rsidRPr="00D76CEF">
        <w:rPr>
          <w:sz w:val="24"/>
        </w:rPr>
        <w:t xml:space="preserve"> based on this DFC is shown in Table 4</w:t>
      </w:r>
      <w:r w:rsidR="00F47E8D" w:rsidRPr="00D76CEF">
        <w:rPr>
          <w:sz w:val="24"/>
        </w:rPr>
        <w:t>. While the average drawdown for the entire aquifer is seven feet, drawdown in individual counties may be greater or less.</w:t>
      </w:r>
    </w:p>
    <w:p w:rsidR="003D13E8" w:rsidRPr="00D76CEF" w:rsidRDefault="0045488E" w:rsidP="0045488E">
      <w:pPr>
        <w:pStyle w:val="EDF-TableFigureTitle"/>
        <w:jc w:val="center"/>
        <w:rPr>
          <w:rFonts w:ascii="Georgia" w:hAnsi="Georgia"/>
        </w:rPr>
      </w:pPr>
      <w:r>
        <w:rPr>
          <w:rFonts w:ascii="Georgia" w:hAnsi="Georgia"/>
        </w:rPr>
        <w:t>Table 7</w:t>
      </w:r>
      <w:r w:rsidR="003D13E8" w:rsidRPr="00D76CEF">
        <w:rPr>
          <w:rFonts w:ascii="Georgia" w:hAnsi="Georgia"/>
        </w:rPr>
        <w:t xml:space="preserve">. Groundwater Availability </w:t>
      </w:r>
      <w:r w:rsidR="00F47E8D" w:rsidRPr="00D76CEF">
        <w:rPr>
          <w:rFonts w:ascii="Georgia" w:hAnsi="Georgia"/>
        </w:rPr>
        <w:t>and Drawdown</w:t>
      </w:r>
      <w:r w:rsidR="003D13E8" w:rsidRPr="00D76CEF">
        <w:rPr>
          <w:rFonts w:ascii="Georgia" w:hAnsi="Georgia"/>
        </w:rPr>
        <w:t xml:space="preserve"> 2010-2060 </w:t>
      </w:r>
      <w:r w:rsidR="003D13E8" w:rsidRPr="00D76CEF">
        <w:rPr>
          <w:rStyle w:val="EndnoteReference"/>
          <w:rFonts w:ascii="Georgia" w:hAnsi="Georgia"/>
        </w:rPr>
        <w:endnoteReference w:id="75"/>
      </w:r>
    </w:p>
    <w:tbl>
      <w:tblPr>
        <w:tblW w:w="6774" w:type="dxa"/>
        <w:jc w:val="center"/>
        <w:tblCellMar>
          <w:left w:w="0" w:type="dxa"/>
          <w:right w:w="0" w:type="dxa"/>
        </w:tblCellMar>
        <w:tblLook w:val="0000"/>
      </w:tblPr>
      <w:tblGrid>
        <w:gridCol w:w="1779"/>
        <w:gridCol w:w="1397"/>
        <w:gridCol w:w="1325"/>
        <w:gridCol w:w="947"/>
        <w:gridCol w:w="1326"/>
      </w:tblGrid>
      <w:tr w:rsidR="00DD5C7B" w:rsidRPr="00D76CEF">
        <w:trPr>
          <w:trHeight w:val="360"/>
          <w:jc w:val="center"/>
        </w:trPr>
        <w:tc>
          <w:tcPr>
            <w:tcW w:w="1763" w:type="dxa"/>
            <w:tcBorders>
              <w:top w:val="single" w:sz="4" w:space="0" w:color="auto"/>
              <w:bottom w:val="nil"/>
              <w:right w:val="nil"/>
            </w:tcBorders>
            <w:shd w:val="clear" w:color="auto" w:fill="B3B3B3"/>
            <w:noWrap/>
            <w:tcMar>
              <w:top w:w="15" w:type="dxa"/>
              <w:left w:w="15" w:type="dxa"/>
              <w:bottom w:w="0" w:type="dxa"/>
              <w:right w:w="15" w:type="dxa"/>
            </w:tcMar>
            <w:vAlign w:val="bottom"/>
          </w:tcPr>
          <w:p w:rsidR="00DD5C7B" w:rsidRPr="00D76CEF" w:rsidRDefault="00DD5C7B" w:rsidP="0045488E">
            <w:pPr>
              <w:pStyle w:val="EDF-BodyCopy"/>
              <w:jc w:val="center"/>
              <w:rPr>
                <w:sz w:val="24"/>
              </w:rPr>
            </w:pPr>
          </w:p>
        </w:tc>
        <w:tc>
          <w:tcPr>
            <w:tcW w:w="2731" w:type="dxa"/>
            <w:gridSpan w:val="2"/>
            <w:tcBorders>
              <w:top w:val="single" w:sz="4" w:space="0" w:color="auto"/>
              <w:left w:val="single" w:sz="4" w:space="0" w:color="auto"/>
              <w:bottom w:val="nil"/>
              <w:right w:val="single" w:sz="4" w:space="0" w:color="000000"/>
            </w:tcBorders>
            <w:shd w:val="clear" w:color="auto" w:fill="B3B3B3"/>
            <w:noWrap/>
            <w:tcMar>
              <w:top w:w="15" w:type="dxa"/>
              <w:left w:w="15" w:type="dxa"/>
              <w:bottom w:w="0" w:type="dxa"/>
              <w:right w:w="15" w:type="dxa"/>
            </w:tcMar>
            <w:vAlign w:val="bottom"/>
          </w:tcPr>
          <w:p w:rsidR="00DD5C7B" w:rsidRPr="00D76CEF" w:rsidRDefault="00DD5C7B" w:rsidP="0045488E">
            <w:pPr>
              <w:pStyle w:val="EDF-BodyCopy"/>
              <w:jc w:val="center"/>
              <w:rPr>
                <w:b/>
                <w:bCs/>
                <w:i/>
                <w:iCs/>
                <w:sz w:val="24"/>
              </w:rPr>
            </w:pPr>
          </w:p>
          <w:p w:rsidR="00DD5C7B" w:rsidRPr="00D76CEF" w:rsidRDefault="00DD5C7B" w:rsidP="0045488E">
            <w:pPr>
              <w:pStyle w:val="EDF-BodyCopy"/>
              <w:jc w:val="center"/>
              <w:rPr>
                <w:b/>
                <w:bCs/>
                <w:i/>
                <w:iCs/>
                <w:sz w:val="24"/>
              </w:rPr>
            </w:pPr>
            <w:r w:rsidRPr="00D76CEF">
              <w:rPr>
                <w:b/>
                <w:bCs/>
                <w:i/>
                <w:iCs/>
                <w:sz w:val="24"/>
              </w:rPr>
              <w:t>Modeled Available GW</w:t>
            </w:r>
          </w:p>
          <w:p w:rsidR="00DD5C7B" w:rsidRPr="00D76CEF" w:rsidRDefault="00DD5C7B" w:rsidP="0045488E">
            <w:pPr>
              <w:pStyle w:val="EDF-BodyCopy"/>
              <w:jc w:val="center"/>
              <w:rPr>
                <w:b/>
                <w:bCs/>
                <w:i/>
                <w:iCs/>
                <w:sz w:val="24"/>
              </w:rPr>
            </w:pPr>
            <w:r w:rsidRPr="00D76CEF">
              <w:rPr>
                <w:b/>
                <w:bCs/>
                <w:i/>
                <w:iCs/>
                <w:sz w:val="24"/>
              </w:rPr>
              <w:t>(</w:t>
            </w:r>
            <w:proofErr w:type="gramStart"/>
            <w:r w:rsidRPr="00D76CEF">
              <w:rPr>
                <w:b/>
                <w:bCs/>
                <w:i/>
                <w:iCs/>
                <w:sz w:val="24"/>
              </w:rPr>
              <w:t>acre</w:t>
            </w:r>
            <w:proofErr w:type="gramEnd"/>
            <w:r w:rsidRPr="00D76CEF">
              <w:rPr>
                <w:b/>
                <w:bCs/>
                <w:i/>
                <w:iCs/>
                <w:sz w:val="24"/>
              </w:rPr>
              <w:t>-feet)</w:t>
            </w:r>
          </w:p>
        </w:tc>
        <w:tc>
          <w:tcPr>
            <w:tcW w:w="2280" w:type="dxa"/>
            <w:gridSpan w:val="2"/>
            <w:tcBorders>
              <w:top w:val="single" w:sz="4" w:space="0" w:color="auto"/>
              <w:left w:val="nil"/>
              <w:bottom w:val="nil"/>
              <w:right w:val="single" w:sz="4" w:space="0" w:color="000000"/>
            </w:tcBorders>
            <w:shd w:val="clear" w:color="auto" w:fill="B3B3B3"/>
            <w:noWrap/>
            <w:tcMar>
              <w:top w:w="15" w:type="dxa"/>
              <w:left w:w="15" w:type="dxa"/>
              <w:bottom w:w="0" w:type="dxa"/>
              <w:right w:w="15" w:type="dxa"/>
            </w:tcMar>
            <w:vAlign w:val="bottom"/>
          </w:tcPr>
          <w:p w:rsidR="00DD5C7B" w:rsidRPr="00D76CEF" w:rsidRDefault="00EF1C17" w:rsidP="0045488E">
            <w:pPr>
              <w:pStyle w:val="EDF-BodyCopy"/>
              <w:jc w:val="center"/>
              <w:rPr>
                <w:b/>
                <w:bCs/>
                <w:i/>
                <w:iCs/>
                <w:sz w:val="24"/>
              </w:rPr>
            </w:pPr>
            <w:r w:rsidRPr="00D76CEF">
              <w:rPr>
                <w:b/>
                <w:bCs/>
                <w:i/>
                <w:iCs/>
                <w:sz w:val="24"/>
              </w:rPr>
              <w:t xml:space="preserve">Average </w:t>
            </w:r>
            <w:r w:rsidR="00DD5C7B" w:rsidRPr="00D76CEF">
              <w:rPr>
                <w:b/>
                <w:bCs/>
                <w:i/>
                <w:iCs/>
                <w:sz w:val="24"/>
              </w:rPr>
              <w:t>Drawdown</w:t>
            </w:r>
          </w:p>
          <w:p w:rsidR="00DD5C7B" w:rsidRPr="00D76CEF" w:rsidRDefault="00DD5C7B" w:rsidP="0045488E">
            <w:pPr>
              <w:pStyle w:val="EDF-BodyCopy"/>
              <w:jc w:val="center"/>
              <w:rPr>
                <w:b/>
                <w:bCs/>
                <w:i/>
                <w:iCs/>
                <w:sz w:val="24"/>
              </w:rPr>
            </w:pPr>
            <w:r w:rsidRPr="00D76CEF">
              <w:rPr>
                <w:b/>
                <w:bCs/>
                <w:i/>
                <w:iCs/>
                <w:sz w:val="24"/>
              </w:rPr>
              <w:t>(</w:t>
            </w:r>
            <w:proofErr w:type="gramStart"/>
            <w:r w:rsidRPr="00D76CEF">
              <w:rPr>
                <w:b/>
                <w:bCs/>
                <w:i/>
                <w:iCs/>
                <w:sz w:val="24"/>
              </w:rPr>
              <w:t>feet</w:t>
            </w:r>
            <w:proofErr w:type="gramEnd"/>
            <w:r w:rsidRPr="00D76CEF">
              <w:rPr>
                <w:b/>
                <w:bCs/>
                <w:i/>
                <w:iCs/>
                <w:sz w:val="24"/>
              </w:rPr>
              <w:t>)</w:t>
            </w:r>
          </w:p>
        </w:tc>
      </w:tr>
      <w:tr w:rsidR="00DD5C7B" w:rsidRPr="00D76CEF">
        <w:trPr>
          <w:trHeight w:val="330"/>
          <w:jc w:val="center"/>
        </w:trPr>
        <w:tc>
          <w:tcPr>
            <w:tcW w:w="0" w:type="auto"/>
            <w:tcBorders>
              <w:top w:val="nil"/>
              <w:bottom w:val="single" w:sz="4" w:space="0" w:color="auto"/>
              <w:right w:val="nil"/>
            </w:tcBorders>
            <w:shd w:val="clear" w:color="auto" w:fill="B3B3B3"/>
            <w:noWrap/>
            <w:tcMar>
              <w:top w:w="15" w:type="dxa"/>
              <w:left w:w="15" w:type="dxa"/>
              <w:bottom w:w="0" w:type="dxa"/>
              <w:right w:w="15" w:type="dxa"/>
            </w:tcMar>
            <w:vAlign w:val="center"/>
          </w:tcPr>
          <w:p w:rsidR="00DD5C7B" w:rsidRPr="00D76CEF" w:rsidRDefault="00DD5C7B" w:rsidP="0045488E">
            <w:pPr>
              <w:pStyle w:val="EDF-BodyCopy"/>
              <w:jc w:val="center"/>
              <w:rPr>
                <w:b/>
                <w:bCs/>
                <w:sz w:val="24"/>
              </w:rPr>
            </w:pPr>
          </w:p>
        </w:tc>
        <w:tc>
          <w:tcPr>
            <w:tcW w:w="1402" w:type="dxa"/>
            <w:tcBorders>
              <w:top w:val="single" w:sz="4" w:space="0" w:color="auto"/>
              <w:left w:val="single" w:sz="4" w:space="0" w:color="auto"/>
              <w:bottom w:val="single" w:sz="4" w:space="0" w:color="auto"/>
              <w:right w:val="single" w:sz="4" w:space="0" w:color="auto"/>
            </w:tcBorders>
            <w:shd w:val="clear" w:color="auto" w:fill="E0E0E0"/>
            <w:noWrap/>
            <w:tcMar>
              <w:top w:w="15" w:type="dxa"/>
              <w:left w:w="15" w:type="dxa"/>
              <w:bottom w:w="0" w:type="dxa"/>
              <w:right w:w="15" w:type="dxa"/>
            </w:tcMar>
            <w:vAlign w:val="center"/>
          </w:tcPr>
          <w:p w:rsidR="00DD5C7B" w:rsidRPr="00D76CEF" w:rsidRDefault="00DD5C7B" w:rsidP="0045488E">
            <w:pPr>
              <w:pStyle w:val="EDF-BodyCopy"/>
              <w:jc w:val="center"/>
              <w:rPr>
                <w:b/>
                <w:bCs/>
                <w:sz w:val="24"/>
              </w:rPr>
            </w:pPr>
            <w:r w:rsidRPr="00D76CEF">
              <w:rPr>
                <w:b/>
                <w:bCs/>
                <w:sz w:val="24"/>
              </w:rPr>
              <w:t>2010</w:t>
            </w:r>
          </w:p>
        </w:tc>
        <w:tc>
          <w:tcPr>
            <w:tcW w:w="1329" w:type="dxa"/>
            <w:tcBorders>
              <w:top w:val="single" w:sz="4" w:space="0" w:color="auto"/>
              <w:left w:val="nil"/>
              <w:bottom w:val="single" w:sz="4" w:space="0" w:color="auto"/>
              <w:right w:val="single" w:sz="4" w:space="0" w:color="auto"/>
            </w:tcBorders>
            <w:shd w:val="clear" w:color="auto" w:fill="E0E0E0"/>
            <w:noWrap/>
            <w:tcMar>
              <w:top w:w="15" w:type="dxa"/>
              <w:left w:w="15" w:type="dxa"/>
              <w:bottom w:w="0" w:type="dxa"/>
              <w:right w:w="15" w:type="dxa"/>
            </w:tcMar>
            <w:vAlign w:val="center"/>
          </w:tcPr>
          <w:p w:rsidR="00DD5C7B" w:rsidRPr="00D76CEF" w:rsidRDefault="00DD5C7B" w:rsidP="0045488E">
            <w:pPr>
              <w:pStyle w:val="EDF-BodyCopy"/>
              <w:jc w:val="center"/>
              <w:rPr>
                <w:b/>
                <w:bCs/>
                <w:sz w:val="24"/>
              </w:rPr>
            </w:pPr>
            <w:r w:rsidRPr="00D76CEF">
              <w:rPr>
                <w:b/>
                <w:bCs/>
                <w:sz w:val="24"/>
              </w:rPr>
              <w:t>2060</w:t>
            </w:r>
          </w:p>
        </w:tc>
        <w:tc>
          <w:tcPr>
            <w:tcW w:w="0" w:type="auto"/>
            <w:tcBorders>
              <w:top w:val="single" w:sz="4" w:space="0" w:color="auto"/>
              <w:left w:val="nil"/>
              <w:bottom w:val="single" w:sz="4" w:space="0" w:color="auto"/>
              <w:right w:val="single" w:sz="4" w:space="0" w:color="auto"/>
            </w:tcBorders>
            <w:shd w:val="clear" w:color="auto" w:fill="E0E0E0"/>
            <w:noWrap/>
            <w:tcMar>
              <w:top w:w="15" w:type="dxa"/>
              <w:left w:w="15" w:type="dxa"/>
              <w:bottom w:w="0" w:type="dxa"/>
              <w:right w:w="15" w:type="dxa"/>
            </w:tcMar>
            <w:vAlign w:val="center"/>
          </w:tcPr>
          <w:p w:rsidR="00DD5C7B" w:rsidRPr="00D76CEF" w:rsidRDefault="00DD5C7B" w:rsidP="0045488E">
            <w:pPr>
              <w:pStyle w:val="EDF-BodyCopy"/>
              <w:jc w:val="center"/>
              <w:rPr>
                <w:b/>
                <w:bCs/>
                <w:sz w:val="24"/>
              </w:rPr>
            </w:pPr>
            <w:r w:rsidRPr="00D76CEF">
              <w:rPr>
                <w:b/>
                <w:bCs/>
                <w:sz w:val="24"/>
              </w:rPr>
              <w:t>2010</w:t>
            </w:r>
          </w:p>
        </w:tc>
        <w:tc>
          <w:tcPr>
            <w:tcW w:w="0" w:type="auto"/>
            <w:tcBorders>
              <w:top w:val="single" w:sz="4" w:space="0" w:color="auto"/>
              <w:left w:val="nil"/>
              <w:bottom w:val="single" w:sz="4" w:space="0" w:color="auto"/>
              <w:right w:val="single" w:sz="4" w:space="0" w:color="auto"/>
            </w:tcBorders>
            <w:shd w:val="clear" w:color="auto" w:fill="E0E0E0"/>
            <w:noWrap/>
            <w:tcMar>
              <w:top w:w="15" w:type="dxa"/>
              <w:left w:w="15" w:type="dxa"/>
              <w:bottom w:w="0" w:type="dxa"/>
              <w:right w:w="15" w:type="dxa"/>
            </w:tcMar>
            <w:vAlign w:val="center"/>
          </w:tcPr>
          <w:p w:rsidR="00DD5C7B" w:rsidRPr="00D76CEF" w:rsidRDefault="00DD5C7B" w:rsidP="0045488E">
            <w:pPr>
              <w:pStyle w:val="EDF-BodyCopy"/>
              <w:jc w:val="center"/>
              <w:rPr>
                <w:b/>
                <w:bCs/>
                <w:sz w:val="24"/>
              </w:rPr>
            </w:pPr>
            <w:r w:rsidRPr="00D76CEF">
              <w:rPr>
                <w:b/>
                <w:bCs/>
                <w:sz w:val="24"/>
              </w:rPr>
              <w:t>2060</w:t>
            </w:r>
          </w:p>
        </w:tc>
      </w:tr>
      <w:tr w:rsidR="00DD5C7B" w:rsidRPr="00D76CEF">
        <w:trPr>
          <w:trHeight w:val="559"/>
          <w:jc w:val="center"/>
        </w:trPr>
        <w:tc>
          <w:tcPr>
            <w:tcW w:w="0" w:type="auto"/>
            <w:tcBorders>
              <w:top w:val="nil"/>
              <w:bottom w:val="single" w:sz="4" w:space="0" w:color="auto"/>
              <w:right w:val="nil"/>
            </w:tcBorders>
            <w:shd w:val="clear" w:color="auto" w:fill="E0E0E0"/>
            <w:noWrap/>
            <w:tcMar>
              <w:top w:w="15" w:type="dxa"/>
              <w:left w:w="15" w:type="dxa"/>
              <w:bottom w:w="0" w:type="dxa"/>
              <w:right w:w="15" w:type="dxa"/>
            </w:tcMar>
            <w:vAlign w:val="center"/>
          </w:tcPr>
          <w:p w:rsidR="00DD5C7B" w:rsidRPr="00D76CEF" w:rsidRDefault="00DD5C7B" w:rsidP="0045488E">
            <w:pPr>
              <w:pStyle w:val="EDF-BodyCopy"/>
              <w:jc w:val="center"/>
              <w:rPr>
                <w:sz w:val="24"/>
              </w:rPr>
            </w:pPr>
            <w:r w:rsidRPr="00D76CEF">
              <w:rPr>
                <w:sz w:val="24"/>
              </w:rPr>
              <w:t>Edwards County</w:t>
            </w:r>
          </w:p>
        </w:tc>
        <w:tc>
          <w:tcPr>
            <w:tcW w:w="140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D5C7B" w:rsidRPr="00D76CEF" w:rsidRDefault="00F4098F" w:rsidP="0045488E">
            <w:pPr>
              <w:pStyle w:val="EDF-BodyCopy"/>
              <w:jc w:val="center"/>
              <w:rPr>
                <w:sz w:val="24"/>
              </w:rPr>
            </w:pPr>
            <w:r w:rsidRPr="00D76CEF">
              <w:rPr>
                <w:sz w:val="24"/>
              </w:rPr>
              <w:t>3,002</w:t>
            </w:r>
          </w:p>
        </w:tc>
        <w:tc>
          <w:tcPr>
            <w:tcW w:w="132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D5C7B" w:rsidRPr="00D76CEF" w:rsidRDefault="00F4098F" w:rsidP="0045488E">
            <w:pPr>
              <w:pStyle w:val="EDF-BodyCopy"/>
              <w:jc w:val="center"/>
              <w:rPr>
                <w:sz w:val="24"/>
              </w:rPr>
            </w:pPr>
            <w:r w:rsidRPr="00D76CEF">
              <w:rPr>
                <w:sz w:val="24"/>
              </w:rPr>
              <w:t>5,659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D5C7B" w:rsidRPr="00D76CEF" w:rsidRDefault="00F4098F" w:rsidP="0045488E">
            <w:pPr>
              <w:pStyle w:val="EDF-BodyCopy"/>
              <w:jc w:val="center"/>
              <w:rPr>
                <w:sz w:val="24"/>
              </w:rPr>
            </w:pPr>
            <w:r w:rsidRPr="00D76CEF">
              <w:rPr>
                <w:sz w:val="24"/>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DD5C7B" w:rsidRPr="00D76CEF" w:rsidRDefault="00F4098F" w:rsidP="0045488E">
            <w:pPr>
              <w:pStyle w:val="EDF-BodyCopy"/>
              <w:jc w:val="center"/>
              <w:rPr>
                <w:sz w:val="24"/>
              </w:rPr>
            </w:pPr>
            <w:r w:rsidRPr="00D76CEF">
              <w:rPr>
                <w:sz w:val="24"/>
              </w:rPr>
              <w:t>2</w:t>
            </w:r>
          </w:p>
        </w:tc>
      </w:tr>
      <w:tr w:rsidR="00F4098F" w:rsidRPr="00D76C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28"/>
          <w:jc w:val="center"/>
        </w:trPr>
        <w:tc>
          <w:tcPr>
            <w:tcW w:w="1763" w:type="dxa"/>
            <w:tcBorders>
              <w:left w:val="nil"/>
            </w:tcBorders>
            <w:shd w:val="solid" w:color="D9D9D9" w:themeColor="background1" w:themeShade="D9" w:fill="auto"/>
          </w:tcPr>
          <w:p w:rsidR="00F4098F" w:rsidRPr="00D76CEF" w:rsidRDefault="00F4098F" w:rsidP="0045488E">
            <w:pPr>
              <w:autoSpaceDE w:val="0"/>
              <w:autoSpaceDN w:val="0"/>
              <w:adjustRightInd w:val="0"/>
              <w:jc w:val="center"/>
              <w:rPr>
                <w:rFonts w:cs="Arial"/>
                <w:szCs w:val="20"/>
              </w:rPr>
            </w:pPr>
            <w:r w:rsidRPr="00D76CEF">
              <w:t>Kimble County</w:t>
            </w:r>
          </w:p>
        </w:tc>
        <w:tc>
          <w:tcPr>
            <w:tcW w:w="1402" w:type="dxa"/>
          </w:tcPr>
          <w:p w:rsidR="00F4098F" w:rsidRPr="00D76CEF" w:rsidRDefault="00F4098F" w:rsidP="0045488E">
            <w:pPr>
              <w:autoSpaceDE w:val="0"/>
              <w:autoSpaceDN w:val="0"/>
              <w:adjustRightInd w:val="0"/>
              <w:jc w:val="center"/>
              <w:rPr>
                <w:rFonts w:cs="Arial"/>
                <w:szCs w:val="20"/>
              </w:rPr>
            </w:pPr>
            <w:r w:rsidRPr="00D76CEF">
              <w:t>847</w:t>
            </w:r>
          </w:p>
        </w:tc>
        <w:tc>
          <w:tcPr>
            <w:tcW w:w="1329" w:type="dxa"/>
          </w:tcPr>
          <w:p w:rsidR="00F4098F" w:rsidRPr="00D76CEF" w:rsidRDefault="00F4098F" w:rsidP="0045488E">
            <w:pPr>
              <w:autoSpaceDE w:val="0"/>
              <w:autoSpaceDN w:val="0"/>
              <w:adjustRightInd w:val="0"/>
              <w:jc w:val="center"/>
              <w:rPr>
                <w:rFonts w:cs="Arial"/>
                <w:szCs w:val="20"/>
              </w:rPr>
            </w:pPr>
            <w:r w:rsidRPr="00D76CEF">
              <w:rPr>
                <w:rFonts w:cs="Arial"/>
                <w:szCs w:val="20"/>
              </w:rPr>
              <w:t>1,400</w:t>
            </w:r>
          </w:p>
        </w:tc>
        <w:tc>
          <w:tcPr>
            <w:tcW w:w="949" w:type="dxa"/>
          </w:tcPr>
          <w:p w:rsidR="00F4098F" w:rsidRPr="00D76CEF" w:rsidRDefault="00F47E8D" w:rsidP="0045488E">
            <w:pPr>
              <w:autoSpaceDE w:val="0"/>
              <w:autoSpaceDN w:val="0"/>
              <w:adjustRightInd w:val="0"/>
              <w:jc w:val="center"/>
              <w:rPr>
                <w:rFonts w:cs="Arial"/>
                <w:szCs w:val="20"/>
              </w:rPr>
            </w:pPr>
            <w:r w:rsidRPr="00D76CEF">
              <w:rPr>
                <w:rFonts w:cs="Arial"/>
                <w:szCs w:val="20"/>
              </w:rPr>
              <w:t>1</w:t>
            </w:r>
          </w:p>
        </w:tc>
        <w:tc>
          <w:tcPr>
            <w:tcW w:w="1331" w:type="dxa"/>
          </w:tcPr>
          <w:p w:rsidR="00F4098F" w:rsidRPr="00D76CEF" w:rsidRDefault="00F47E8D" w:rsidP="0045488E">
            <w:pPr>
              <w:autoSpaceDE w:val="0"/>
              <w:autoSpaceDN w:val="0"/>
              <w:adjustRightInd w:val="0"/>
              <w:jc w:val="center"/>
              <w:rPr>
                <w:rFonts w:cs="Arial"/>
                <w:szCs w:val="20"/>
              </w:rPr>
            </w:pPr>
            <w:r w:rsidRPr="00D76CEF">
              <w:rPr>
                <w:rFonts w:cs="Arial"/>
                <w:szCs w:val="20"/>
              </w:rPr>
              <w:t>1</w:t>
            </w:r>
          </w:p>
        </w:tc>
      </w:tr>
      <w:tr w:rsidR="00F4098F" w:rsidRPr="00D76C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28"/>
          <w:jc w:val="center"/>
        </w:trPr>
        <w:tc>
          <w:tcPr>
            <w:tcW w:w="1763" w:type="dxa"/>
            <w:tcBorders>
              <w:left w:val="nil"/>
            </w:tcBorders>
            <w:shd w:val="solid" w:color="D9D9D9" w:themeColor="background1" w:themeShade="D9" w:fill="auto"/>
          </w:tcPr>
          <w:p w:rsidR="00F4098F" w:rsidRPr="00D76CEF" w:rsidRDefault="00F4098F" w:rsidP="0045488E">
            <w:pPr>
              <w:autoSpaceDE w:val="0"/>
              <w:autoSpaceDN w:val="0"/>
              <w:adjustRightInd w:val="0"/>
              <w:jc w:val="center"/>
              <w:rPr>
                <w:rFonts w:cs="Arial"/>
                <w:szCs w:val="20"/>
              </w:rPr>
            </w:pPr>
            <w:r w:rsidRPr="00D76CEF">
              <w:t>Sutton County</w:t>
            </w:r>
          </w:p>
        </w:tc>
        <w:tc>
          <w:tcPr>
            <w:tcW w:w="1402" w:type="dxa"/>
          </w:tcPr>
          <w:p w:rsidR="00F4098F" w:rsidRPr="00D76CEF" w:rsidRDefault="00F47E8D" w:rsidP="0045488E">
            <w:pPr>
              <w:autoSpaceDE w:val="0"/>
              <w:autoSpaceDN w:val="0"/>
              <w:adjustRightInd w:val="0"/>
              <w:jc w:val="center"/>
              <w:rPr>
                <w:rFonts w:cs="Arial"/>
                <w:szCs w:val="20"/>
              </w:rPr>
            </w:pPr>
            <w:r w:rsidRPr="00D76CEF">
              <w:rPr>
                <w:rFonts w:cs="Arial"/>
                <w:szCs w:val="20"/>
              </w:rPr>
              <w:t>3,794</w:t>
            </w:r>
          </w:p>
        </w:tc>
        <w:tc>
          <w:tcPr>
            <w:tcW w:w="1329" w:type="dxa"/>
          </w:tcPr>
          <w:p w:rsidR="00F4098F" w:rsidRPr="00D76CEF" w:rsidRDefault="00F47E8D" w:rsidP="0045488E">
            <w:pPr>
              <w:autoSpaceDE w:val="0"/>
              <w:autoSpaceDN w:val="0"/>
              <w:adjustRightInd w:val="0"/>
              <w:jc w:val="center"/>
              <w:rPr>
                <w:rFonts w:cs="Arial"/>
                <w:szCs w:val="20"/>
              </w:rPr>
            </w:pPr>
            <w:r w:rsidRPr="00D76CEF">
              <w:rPr>
                <w:rFonts w:cs="Arial"/>
                <w:szCs w:val="20"/>
              </w:rPr>
              <w:t>6,450</w:t>
            </w:r>
          </w:p>
        </w:tc>
        <w:tc>
          <w:tcPr>
            <w:tcW w:w="949" w:type="dxa"/>
          </w:tcPr>
          <w:p w:rsidR="00F4098F" w:rsidRPr="00D76CEF" w:rsidRDefault="00F47E8D" w:rsidP="0045488E">
            <w:pPr>
              <w:autoSpaceDE w:val="0"/>
              <w:autoSpaceDN w:val="0"/>
              <w:adjustRightInd w:val="0"/>
              <w:jc w:val="center"/>
              <w:rPr>
                <w:rFonts w:cs="Arial"/>
                <w:szCs w:val="20"/>
              </w:rPr>
            </w:pPr>
            <w:r w:rsidRPr="00D76CEF">
              <w:rPr>
                <w:rFonts w:cs="Arial"/>
                <w:szCs w:val="20"/>
              </w:rPr>
              <w:t>2</w:t>
            </w:r>
          </w:p>
        </w:tc>
        <w:tc>
          <w:tcPr>
            <w:tcW w:w="1331" w:type="dxa"/>
          </w:tcPr>
          <w:p w:rsidR="00F4098F" w:rsidRPr="00D76CEF" w:rsidRDefault="00F47E8D" w:rsidP="0045488E">
            <w:pPr>
              <w:autoSpaceDE w:val="0"/>
              <w:autoSpaceDN w:val="0"/>
              <w:adjustRightInd w:val="0"/>
              <w:jc w:val="center"/>
              <w:rPr>
                <w:rFonts w:cs="Arial"/>
                <w:szCs w:val="20"/>
              </w:rPr>
            </w:pPr>
            <w:r w:rsidRPr="00D76CEF">
              <w:rPr>
                <w:rFonts w:cs="Arial"/>
                <w:szCs w:val="20"/>
              </w:rPr>
              <w:t>6</w:t>
            </w:r>
          </w:p>
        </w:tc>
      </w:tr>
    </w:tbl>
    <w:p w:rsidR="000C47D4" w:rsidRPr="00D76CEF" w:rsidRDefault="000C47D4" w:rsidP="0045488E">
      <w:pPr>
        <w:autoSpaceDE w:val="0"/>
        <w:autoSpaceDN w:val="0"/>
        <w:adjustRightInd w:val="0"/>
        <w:jc w:val="center"/>
        <w:rPr>
          <w:rFonts w:cs="Arial"/>
          <w:szCs w:val="20"/>
        </w:rPr>
      </w:pPr>
    </w:p>
    <w:p w:rsidR="00EF1C17" w:rsidRPr="00D76CEF" w:rsidRDefault="006A756E">
      <w:r w:rsidRPr="00D76CEF">
        <w:t>T</w:t>
      </w:r>
      <w:r w:rsidR="0045488E">
        <w:t>he drawdown predicted in Table 7</w:t>
      </w:r>
      <w:r w:rsidRPr="00D76CEF">
        <w:t xml:space="preserve"> is based on output </w:t>
      </w:r>
      <w:r w:rsidR="0080399E" w:rsidRPr="00D76CEF">
        <w:t xml:space="preserve">scenarios </w:t>
      </w:r>
      <w:r w:rsidRPr="00D76CEF">
        <w:t xml:space="preserve">from a groundwater model. </w:t>
      </w:r>
      <w:r w:rsidR="0080399E" w:rsidRPr="00D76CEF">
        <w:t>This model assu</w:t>
      </w:r>
      <w:r w:rsidR="008C03AD" w:rsidRPr="00D76CEF">
        <w:t xml:space="preserve">mes that recharge for each scenario is equal to the average annual recharge. </w:t>
      </w:r>
      <w:r w:rsidR="000C47D4" w:rsidRPr="00D76CEF">
        <w:t xml:space="preserve">As previously mentioned, </w:t>
      </w:r>
      <w:r w:rsidR="008C03AD" w:rsidRPr="00D76CEF">
        <w:t xml:space="preserve">actual recharge may approach zero when precipitation amounts are 70 percent of average. </w:t>
      </w:r>
      <w:r w:rsidR="008C03AD" w:rsidRPr="00D76CEF">
        <w:rPr>
          <w:rStyle w:val="EndnoteReference"/>
        </w:rPr>
        <w:endnoteReference w:id="76"/>
      </w:r>
      <w:r w:rsidR="008C03AD" w:rsidRPr="00D76CEF">
        <w:t xml:space="preserve">  Thus the amount of drawdown, or drop in the water table, is likely to be greater during </w:t>
      </w:r>
      <w:r w:rsidR="00EF1C17" w:rsidRPr="00D76CEF">
        <w:t>periods of drought.</w:t>
      </w:r>
    </w:p>
    <w:p w:rsidR="000C47D4" w:rsidRPr="00D76CEF" w:rsidRDefault="000C47D4"/>
    <w:p w:rsidR="000C47D4" w:rsidRPr="00D76CEF" w:rsidRDefault="000C47D4">
      <w:pPr>
        <w:pStyle w:val="Heading2"/>
        <w:rPr>
          <w:b/>
          <w:bCs/>
          <w:i w:val="0"/>
          <w:iCs w:val="0"/>
          <w:u w:val="single"/>
        </w:rPr>
      </w:pPr>
      <w:r w:rsidRPr="00D76CEF">
        <w:rPr>
          <w:b/>
          <w:bCs/>
          <w:i w:val="0"/>
          <w:iCs w:val="0"/>
          <w:u w:val="single"/>
        </w:rPr>
        <w:t>Regional Water Planning</w:t>
      </w:r>
    </w:p>
    <w:p w:rsidR="000C47D4" w:rsidRPr="00D76CEF" w:rsidRDefault="000C47D4"/>
    <w:p w:rsidR="000C47D4" w:rsidRPr="00D76CEF" w:rsidRDefault="000C47D4">
      <w:r w:rsidRPr="00D76CEF">
        <w:t>In 1997, the state began a locally driven regional water planning process.  As part of this process, the state was divided into sixteen planning regions and representatives from all the water user groups within a particular region were charged with developing a regional water plan that provides for the fifty-year water needs of their region. The resulting water plans evaluate water needs for various categories such as domestic, industrial, irrigation, and livestock based on projections developed by the TWDB. The regional plans are modified every five years, with the most recent round of plann</w:t>
      </w:r>
      <w:r w:rsidR="000C7DE5" w:rsidRPr="00D76CEF">
        <w:t>ing completed in 2011</w:t>
      </w:r>
      <w:r w:rsidRPr="00D76CEF">
        <w:t xml:space="preserve">.  At the end of each five-year cycle, the state compiles the regional water plans and prepares a State Water Plan.  Two regional planning groups cover the South Llano River: Region F (which includes Kimble and Sutton Counties) and the Region J (Plateau), which includes Edwards and Real Counties. </w:t>
      </w:r>
      <w:r w:rsidRPr="00D76CEF">
        <w:rPr>
          <w:rStyle w:val="EndnoteReference"/>
        </w:rPr>
        <w:endnoteReference w:id="77"/>
      </w:r>
    </w:p>
    <w:p w:rsidR="000C47D4" w:rsidRPr="00D76CEF" w:rsidRDefault="000C47D4"/>
    <w:p w:rsidR="000C47D4" w:rsidRPr="00D76CEF" w:rsidRDefault="000C47D4">
      <w:r w:rsidRPr="00D76CEF">
        <w:t xml:space="preserve">Many regions of the state are experiencing water shortages and looking outside their immediate area for </w:t>
      </w:r>
      <w:r w:rsidR="000C7DE5" w:rsidRPr="00D76CEF">
        <w:t>water sources. However, the 2011</w:t>
      </w:r>
      <w:r w:rsidRPr="00D76CEF">
        <w:t xml:space="preserve"> plans for both Region F and Region J (Plateau) did not identify any water shortages that required additional water supplies that would significantly impact the </w:t>
      </w:r>
      <w:r w:rsidR="000C7DE5" w:rsidRPr="00D76CEF">
        <w:t xml:space="preserve">North or </w:t>
      </w:r>
      <w:r w:rsidRPr="00D76CEF">
        <w:t xml:space="preserve">South Llano River, </w:t>
      </w:r>
      <w:r w:rsidRPr="00D76CEF">
        <w:rPr>
          <w:rStyle w:val="EndnoteReference"/>
        </w:rPr>
        <w:endnoteReference w:id="78"/>
      </w:r>
      <w:r w:rsidRPr="00D76CEF">
        <w:t xml:space="preserve"> </w:t>
      </w:r>
      <w:r w:rsidRPr="00D76CEF">
        <w:rPr>
          <w:rStyle w:val="EndnoteReference"/>
        </w:rPr>
        <w:endnoteReference w:id="79"/>
      </w:r>
      <w:r w:rsidRPr="00D76CEF">
        <w:t xml:space="preserve"> nor did other regions look to the </w:t>
      </w:r>
      <w:r w:rsidR="000C7DE5" w:rsidRPr="00D76CEF">
        <w:t xml:space="preserve">North or </w:t>
      </w:r>
      <w:r w:rsidRPr="00D76CEF">
        <w:t xml:space="preserve">South Llano for additional water supplies. Both the Region F and Region J planning groups specifically noted the potential impact that increased aquifer withdrawals could have on spring flow and </w:t>
      </w:r>
      <w:proofErr w:type="spellStart"/>
      <w:r w:rsidRPr="00D76CEF">
        <w:t>baseflow</w:t>
      </w:r>
      <w:proofErr w:type="spellEnd"/>
      <w:r w:rsidRPr="00D76CEF">
        <w:t xml:space="preserve"> to the rivers. The Region J (Plateau) plan comments, “</w:t>
      </w:r>
      <w:r w:rsidR="00F329D5" w:rsidRPr="00D76CEF">
        <w:t xml:space="preserve">These discharges from springs are thus the primary source of continuous flow to the rivers downstream and, therefore, </w:t>
      </w:r>
      <w:proofErr w:type="gramStart"/>
      <w:r w:rsidR="00F329D5" w:rsidRPr="00D76CEF">
        <w:t>their</w:t>
      </w:r>
      <w:proofErr w:type="gramEnd"/>
      <w:r w:rsidR="00F329D5" w:rsidRPr="00D76CEF">
        <w:t xml:space="preserve"> protection is </w:t>
      </w:r>
      <w:r w:rsidR="00455434" w:rsidRPr="00D76CEF">
        <w:t>warranted</w:t>
      </w:r>
      <w:r w:rsidRPr="00D76CEF">
        <w:t>”.</w:t>
      </w:r>
      <w:r w:rsidRPr="00D76CEF">
        <w:rPr>
          <w:rStyle w:val="EndnoteReference"/>
        </w:rPr>
        <w:endnoteReference w:id="80"/>
      </w:r>
      <w:r w:rsidRPr="00D76CEF">
        <w:t xml:space="preserve"> </w:t>
      </w:r>
    </w:p>
    <w:p w:rsidR="000C47D4" w:rsidRPr="00D76CEF" w:rsidRDefault="000C47D4"/>
    <w:p w:rsidR="000C47D4" w:rsidRPr="00D76CEF" w:rsidRDefault="000C47D4">
      <w:pPr>
        <w:pStyle w:val="Heading2"/>
        <w:rPr>
          <w:b/>
          <w:bCs/>
          <w:i w:val="0"/>
          <w:iCs w:val="0"/>
          <w:u w:val="single"/>
        </w:rPr>
      </w:pPr>
      <w:r w:rsidRPr="00D76CEF">
        <w:rPr>
          <w:b/>
          <w:bCs/>
          <w:i w:val="0"/>
          <w:iCs w:val="0"/>
          <w:u w:val="single"/>
        </w:rPr>
        <w:t>Lower Colorado River Authority (LCRA)</w:t>
      </w:r>
    </w:p>
    <w:p w:rsidR="000C47D4" w:rsidRPr="00D76CEF" w:rsidRDefault="000C47D4"/>
    <w:p w:rsidR="000C47D4" w:rsidRPr="00D76CEF" w:rsidRDefault="000C47D4">
      <w:r w:rsidRPr="00D76CEF">
        <w:t xml:space="preserve">The LCRA does not have any direct water management authority in the area. Such authority only applies to the Authority’s original statutory district, which stops at the Llano-Mason County line. However, the Authority is involved directly and indirectly in water management activities on the </w:t>
      </w:r>
      <w:r w:rsidR="00F329D5" w:rsidRPr="00D76CEF">
        <w:t xml:space="preserve">North and </w:t>
      </w:r>
      <w:r w:rsidRPr="00D76CEF">
        <w:t>South Llano River.</w:t>
      </w:r>
    </w:p>
    <w:p w:rsidR="000C47D4" w:rsidRPr="00D76CEF" w:rsidRDefault="000C47D4"/>
    <w:p w:rsidR="000C47D4" w:rsidRPr="00286E4C" w:rsidRDefault="000C47D4" w:rsidP="00286E4C">
      <w:r w:rsidRPr="00D76CEF">
        <w:t xml:space="preserve">The LCRA does not hold any water rights in the river, but collects </w:t>
      </w:r>
      <w:proofErr w:type="spellStart"/>
      <w:r w:rsidRPr="00D76CEF">
        <w:t>streamflow</w:t>
      </w:r>
      <w:proofErr w:type="spellEnd"/>
      <w:r w:rsidRPr="00D76CEF">
        <w:t xml:space="preserve">, water quality, and aquatic habitat information in the </w:t>
      </w:r>
      <w:r w:rsidR="00B83C2D">
        <w:t>North and South Llano watersheds</w:t>
      </w:r>
      <w:r w:rsidRPr="00D76CEF">
        <w:t xml:space="preserve">.  However, as they are the largest holder of downstream water rights in the Colorado River basin, they do have an effect on water distribution from the </w:t>
      </w:r>
      <w:r w:rsidR="000C7DE5" w:rsidRPr="00D76CEF">
        <w:t xml:space="preserve">North </w:t>
      </w:r>
      <w:r w:rsidR="00F329D5" w:rsidRPr="00D76CEF">
        <w:t xml:space="preserve">and </w:t>
      </w:r>
      <w:r w:rsidRPr="00D76CEF">
        <w:t xml:space="preserve">South Llano. Upstream water rights with a priority date later than the LCRA rights, must not withdraw water if there is not enough water available to meet the downstream LCRA demands.  Consequently, there is little or no additional water available for additional surface water rights in the </w:t>
      </w:r>
      <w:r w:rsidR="000C7DE5" w:rsidRPr="00D76CEF">
        <w:t xml:space="preserve">North or </w:t>
      </w:r>
      <w:r w:rsidRPr="00D76CEF">
        <w:t xml:space="preserve">South Llano River. </w:t>
      </w:r>
    </w:p>
    <w:p w:rsidR="000C47D4" w:rsidRPr="00D76CEF" w:rsidRDefault="000C47D4"/>
    <w:p w:rsidR="000C47D4" w:rsidRPr="00D76CEF" w:rsidRDefault="000C47D4">
      <w:pPr>
        <w:pStyle w:val="Heading2"/>
        <w:rPr>
          <w:b/>
          <w:bCs/>
          <w:i w:val="0"/>
          <w:iCs w:val="0"/>
          <w:u w:val="single"/>
        </w:rPr>
      </w:pPr>
      <w:r w:rsidRPr="00D76CEF">
        <w:rPr>
          <w:b/>
          <w:bCs/>
          <w:i w:val="0"/>
          <w:iCs w:val="0"/>
          <w:u w:val="single"/>
        </w:rPr>
        <w:t>National Resource Conservation Service (NRCS)</w:t>
      </w:r>
    </w:p>
    <w:p w:rsidR="000C47D4" w:rsidRPr="00D76CEF" w:rsidRDefault="000C47D4"/>
    <w:p w:rsidR="00222B41" w:rsidRPr="00D76CEF" w:rsidRDefault="00222B41" w:rsidP="00222B41">
      <w:pPr>
        <w:pStyle w:val="EDF-BodyCopy"/>
        <w:rPr>
          <w:sz w:val="24"/>
        </w:rPr>
      </w:pPr>
      <w:r w:rsidRPr="00D76CEF">
        <w:rPr>
          <w:sz w:val="24"/>
        </w:rPr>
        <w:t xml:space="preserve">In the North and South watersheds, the Natural Resource Conservation Service (NRCS) works with </w:t>
      </w:r>
      <w:r w:rsidR="00455434" w:rsidRPr="00D76CEF">
        <w:rPr>
          <w:sz w:val="24"/>
        </w:rPr>
        <w:t>local</w:t>
      </w:r>
      <w:r w:rsidRPr="00D76CEF">
        <w:rPr>
          <w:sz w:val="24"/>
        </w:rPr>
        <w:t xml:space="preserve"> Soil and Water Conservation Districts to assist local landowners with the conservation, maintenance, and improvement of natural resources. </w:t>
      </w:r>
      <w:r w:rsidRPr="00D76CEF">
        <w:rPr>
          <w:rStyle w:val="EndnoteReference"/>
          <w:sz w:val="24"/>
        </w:rPr>
        <w:endnoteReference w:id="81"/>
      </w:r>
      <w:r w:rsidRPr="00D76CEF">
        <w:rPr>
          <w:sz w:val="24"/>
        </w:rPr>
        <w:t xml:space="preserve">  Much of the current effort to improve natural resources is through the Environmental Quality Incentives Program (EQIP). Agricultural producers who participate in the program are eligible for a 75 percent reimbursement from NRCS for up to $300,000. Lands that are in wildlife habitat plans are not eligible for these funds, but may participate in the Wildlife Habitat Incentive Program that provides up to $50,000 in matching funding to complete projects that improve habitat, including brush management. Other NRCS programs designed to promote land stewardship include the Conservation Reserve Program and the Conservation Stewardship Program.</w:t>
      </w:r>
    </w:p>
    <w:p w:rsidR="000C47D4" w:rsidRPr="00D76CEF" w:rsidRDefault="000C47D4">
      <w:pPr>
        <w:pStyle w:val="Heading2"/>
        <w:rPr>
          <w:b/>
          <w:bCs/>
          <w:i w:val="0"/>
          <w:iCs w:val="0"/>
          <w:u w:val="single"/>
        </w:rPr>
      </w:pPr>
      <w:r w:rsidRPr="00D76CEF">
        <w:rPr>
          <w:b/>
          <w:bCs/>
          <w:i w:val="0"/>
          <w:iCs w:val="0"/>
          <w:u w:val="single"/>
        </w:rPr>
        <w:t>Texas Parks and Wildlife Department (TPWD)</w:t>
      </w:r>
    </w:p>
    <w:p w:rsidR="000C47D4" w:rsidRPr="00D76CEF" w:rsidRDefault="000C47D4"/>
    <w:p w:rsidR="008F1811" w:rsidRDefault="006B797F" w:rsidP="008F1811">
      <w:pPr>
        <w:pStyle w:val="EDF-BodyCopy"/>
        <w:rPr>
          <w:sz w:val="24"/>
        </w:rPr>
      </w:pPr>
      <w:r>
        <w:rPr>
          <w:sz w:val="24"/>
        </w:rPr>
        <w:t xml:space="preserve">The </w:t>
      </w:r>
      <w:r w:rsidR="000C47D4" w:rsidRPr="00D76CEF">
        <w:rPr>
          <w:sz w:val="24"/>
        </w:rPr>
        <w:t>Texas Parks and Wildlife Department, through</w:t>
      </w:r>
      <w:r>
        <w:rPr>
          <w:sz w:val="24"/>
        </w:rPr>
        <w:t xml:space="preserve"> land management and cooperative programming, are actively involved in stewardship efforts in the </w:t>
      </w:r>
      <w:r w:rsidR="00B83C2D">
        <w:rPr>
          <w:sz w:val="24"/>
        </w:rPr>
        <w:t>North and South Llano</w:t>
      </w:r>
      <w:r>
        <w:rPr>
          <w:sz w:val="24"/>
        </w:rPr>
        <w:t xml:space="preserve"> watershed</w:t>
      </w:r>
      <w:r w:rsidR="00B83C2D">
        <w:rPr>
          <w:sz w:val="24"/>
        </w:rPr>
        <w:t>s</w:t>
      </w:r>
      <w:r>
        <w:rPr>
          <w:sz w:val="24"/>
        </w:rPr>
        <w:t xml:space="preserve">.  </w:t>
      </w:r>
      <w:r w:rsidR="00AA0343">
        <w:rPr>
          <w:sz w:val="24"/>
        </w:rPr>
        <w:t>TPWD manages</w:t>
      </w:r>
      <w:r>
        <w:rPr>
          <w:sz w:val="24"/>
        </w:rPr>
        <w:t xml:space="preserve"> the </w:t>
      </w:r>
      <w:r w:rsidR="000C47D4" w:rsidRPr="00D76CEF">
        <w:rPr>
          <w:sz w:val="24"/>
        </w:rPr>
        <w:t xml:space="preserve">South </w:t>
      </w:r>
      <w:r w:rsidR="0038627E" w:rsidRPr="00D76CEF">
        <w:rPr>
          <w:sz w:val="24"/>
        </w:rPr>
        <w:t>Llano River State Park</w:t>
      </w:r>
      <w:r w:rsidR="00D44B77">
        <w:rPr>
          <w:sz w:val="24"/>
        </w:rPr>
        <w:t>,</w:t>
      </w:r>
      <w:r w:rsidR="000C47D4" w:rsidRPr="00D76CEF">
        <w:rPr>
          <w:sz w:val="24"/>
        </w:rPr>
        <w:t xml:space="preserve"> over 2,700 acres of riparian and upland habitat along the South Llano River</w:t>
      </w:r>
      <w:r w:rsidR="00AA0343">
        <w:rPr>
          <w:sz w:val="24"/>
        </w:rPr>
        <w:t>,</w:t>
      </w:r>
      <w:r w:rsidR="000C47D4" w:rsidRPr="00D76CEF">
        <w:rPr>
          <w:sz w:val="24"/>
        </w:rPr>
        <w:t xml:space="preserve"> for recreation, nature study and wildlife habi</w:t>
      </w:r>
      <w:r w:rsidR="00D44B77">
        <w:rPr>
          <w:sz w:val="24"/>
        </w:rPr>
        <w:t>tat improvement and protection.</w:t>
      </w:r>
    </w:p>
    <w:p w:rsidR="00C71FCE" w:rsidRDefault="0038627E" w:rsidP="0038627E">
      <w:pPr>
        <w:pStyle w:val="EDF-BodyCopy"/>
        <w:rPr>
          <w:sz w:val="24"/>
        </w:rPr>
      </w:pPr>
      <w:r w:rsidRPr="00D76CEF">
        <w:rPr>
          <w:sz w:val="24"/>
        </w:rPr>
        <w:t>TPWD</w:t>
      </w:r>
      <w:r w:rsidR="002E408F">
        <w:rPr>
          <w:sz w:val="24"/>
        </w:rPr>
        <w:t xml:space="preserve"> is also involved in</w:t>
      </w:r>
      <w:r w:rsidR="00F33636">
        <w:rPr>
          <w:sz w:val="24"/>
        </w:rPr>
        <w:t xml:space="preserve"> cooperative efforts, such as the Guadalupe </w:t>
      </w:r>
      <w:r w:rsidR="00F33636" w:rsidRPr="008F1811">
        <w:rPr>
          <w:sz w:val="24"/>
        </w:rPr>
        <w:t xml:space="preserve">Bass </w:t>
      </w:r>
      <w:r w:rsidR="008F1811" w:rsidRPr="008F1811">
        <w:rPr>
          <w:sz w:val="24"/>
        </w:rPr>
        <w:t>Restoration</w:t>
      </w:r>
      <w:r w:rsidR="008F1811">
        <w:t xml:space="preserve"> </w:t>
      </w:r>
      <w:r w:rsidR="00F33636">
        <w:rPr>
          <w:sz w:val="24"/>
        </w:rPr>
        <w:t xml:space="preserve">Initiative. </w:t>
      </w:r>
      <w:r w:rsidR="008F1811" w:rsidRPr="008F1811">
        <w:rPr>
          <w:sz w:val="24"/>
        </w:rPr>
        <w:t xml:space="preserve">Partnering with the South Llano Watershed Alliance, TPWD is working </w:t>
      </w:r>
      <w:r w:rsidR="008F1811" w:rsidRPr="008F1811">
        <w:rPr>
          <w:sz w:val="24"/>
          <w:szCs w:val="20"/>
        </w:rPr>
        <w:t xml:space="preserve">to protect Guadalupe bass populations and their habitat by developing networks of willing landowners interested in implementing coordinated landscape conservation actions at watershed-scales. </w:t>
      </w:r>
      <w:r w:rsidR="008F1811">
        <w:rPr>
          <w:sz w:val="24"/>
          <w:szCs w:val="20"/>
        </w:rPr>
        <w:t>Such c</w:t>
      </w:r>
      <w:r w:rsidR="008F1811" w:rsidRPr="008F1811">
        <w:rPr>
          <w:sz w:val="24"/>
          <w:szCs w:val="20"/>
        </w:rPr>
        <w:t xml:space="preserve">onservation actions promote functional riparian and stream systems, and emphasize the conservation of native fish communities and supporting habitats. </w:t>
      </w:r>
      <w:r w:rsidR="00C71FCE">
        <w:rPr>
          <w:rStyle w:val="EndnoteReference"/>
          <w:sz w:val="24"/>
          <w:szCs w:val="20"/>
        </w:rPr>
        <w:endnoteReference w:id="82"/>
      </w:r>
      <w:r w:rsidR="00C71FCE">
        <w:rPr>
          <w:sz w:val="24"/>
        </w:rPr>
        <w:t xml:space="preserve"> The development of this characterization report and the creation of a stakeholder-driver Watershed Conservation Plan are a portion of this initiative.</w:t>
      </w:r>
    </w:p>
    <w:p w:rsidR="00C71FCE" w:rsidRDefault="00C71FCE" w:rsidP="0038627E">
      <w:pPr>
        <w:pStyle w:val="EDF-BodyCopy"/>
        <w:rPr>
          <w:sz w:val="24"/>
        </w:rPr>
      </w:pPr>
    </w:p>
    <w:p w:rsidR="00FD711B" w:rsidRDefault="00FD711B" w:rsidP="0038627E">
      <w:pPr>
        <w:pStyle w:val="EDF-BodyCopy"/>
        <w:rPr>
          <w:sz w:val="24"/>
        </w:rPr>
      </w:pPr>
    </w:p>
    <w:p w:rsidR="00FD711B" w:rsidRDefault="00FD711B" w:rsidP="0038627E">
      <w:pPr>
        <w:pStyle w:val="EDF-BodyCopy"/>
        <w:rPr>
          <w:sz w:val="24"/>
        </w:rPr>
      </w:pPr>
    </w:p>
    <w:p w:rsidR="00FD711B" w:rsidRDefault="00FD711B" w:rsidP="0038627E">
      <w:pPr>
        <w:pStyle w:val="EDF-BodyCopy"/>
        <w:rPr>
          <w:sz w:val="24"/>
        </w:rPr>
      </w:pPr>
    </w:p>
    <w:p w:rsidR="00FD711B" w:rsidRDefault="00FD711B" w:rsidP="0038627E">
      <w:pPr>
        <w:pStyle w:val="EDF-BodyCopy"/>
        <w:rPr>
          <w:sz w:val="24"/>
        </w:rPr>
      </w:pPr>
    </w:p>
    <w:p w:rsidR="00D44B77" w:rsidRDefault="00D44B77" w:rsidP="0038627E">
      <w:pPr>
        <w:pStyle w:val="EDF-BodyCopy"/>
        <w:rPr>
          <w:sz w:val="24"/>
        </w:rPr>
      </w:pPr>
    </w:p>
    <w:p w:rsidR="00D44B77" w:rsidRDefault="00D44B77" w:rsidP="0038627E">
      <w:pPr>
        <w:pStyle w:val="EDF-BodyCopy"/>
        <w:rPr>
          <w:sz w:val="24"/>
        </w:rPr>
      </w:pPr>
    </w:p>
    <w:p w:rsidR="00FD711B" w:rsidRDefault="00FD711B" w:rsidP="0038627E">
      <w:pPr>
        <w:pStyle w:val="EDF-BodyCopy"/>
        <w:rPr>
          <w:sz w:val="24"/>
        </w:rPr>
      </w:pPr>
    </w:p>
    <w:p w:rsidR="0038627E" w:rsidRPr="00D76CEF" w:rsidRDefault="0038627E" w:rsidP="0038627E">
      <w:pPr>
        <w:pStyle w:val="EDF-BodyCopy"/>
        <w:rPr>
          <w:sz w:val="24"/>
        </w:rPr>
      </w:pPr>
    </w:p>
    <w:p w:rsidR="000C47D4" w:rsidRPr="0045488E" w:rsidRDefault="0045488E" w:rsidP="0045488E">
      <w:pPr>
        <w:pStyle w:val="Heading1"/>
        <w:rPr>
          <w:rFonts w:ascii="Arial" w:hAnsi="Arial"/>
          <w:sz w:val="32"/>
        </w:rPr>
      </w:pPr>
      <w:r>
        <w:rPr>
          <w:rFonts w:ascii="Arial" w:hAnsi="Arial"/>
          <w:sz w:val="32"/>
        </w:rPr>
        <w:t>Notes and References</w:t>
      </w:r>
    </w:p>
    <w:sectPr w:rsidR="000C47D4" w:rsidRPr="0045488E" w:rsidSect="004B07A1">
      <w:headerReference w:type="even" r:id="rId20"/>
      <w:headerReference w:type="default" r:id="rId21"/>
      <w:footerReference w:type="even" r:id="rId22"/>
      <w:footerReference w:type="default" r:id="rId23"/>
      <w:headerReference w:type="first" r:id="rId24"/>
      <w:footerReference w:type="first" r:id="rId25"/>
      <w:endnotePr>
        <w:numFmt w:val="decimal"/>
      </w:endnotePr>
      <w:pgSz w:w="12240" w:h="15840"/>
      <w:pgMar w:top="1440" w:right="1080" w:bottom="1440" w:left="1800" w:gutter="0"/>
      <w:pgBorders w:offsetFrom="page">
        <w:bottom w:val="single" w:sz="4" w:space="24" w:color="auto"/>
      </w:pgBorders>
      <w:pgNumType w:start="1"/>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0AF" w:rsidRDefault="003450AF"/>
  </w:endnote>
  <w:endnote w:type="continuationSeparator" w:id="0">
    <w:p w:rsidR="003450AF" w:rsidRDefault="003450AF"/>
  </w:endnote>
  <w:endnote w:id="1">
    <w:p w:rsidR="003450AF" w:rsidRDefault="003450AF" w:rsidP="002614B5">
      <w:pPr>
        <w:pStyle w:val="EndnoteText"/>
      </w:pPr>
      <w:r>
        <w:rPr>
          <w:rStyle w:val="EndnoteReference"/>
        </w:rPr>
        <w:endnoteRef/>
      </w:r>
      <w:r>
        <w:t xml:space="preserve"> “Land of the living waters: a characterization of the South Llano River, its springs, and its watershed”. </w:t>
      </w:r>
      <w:proofErr w:type="gramStart"/>
      <w:r>
        <w:t>Environmental Defense Fund, 2008.</w:t>
      </w:r>
      <w:proofErr w:type="gramEnd"/>
    </w:p>
  </w:endnote>
  <w:endnote w:id="2">
    <w:p w:rsidR="003450AF" w:rsidRDefault="003450AF">
      <w:pPr>
        <w:pStyle w:val="EndnoteText"/>
        <w:rPr>
          <w:i/>
          <w:iCs/>
        </w:rPr>
      </w:pPr>
      <w:r>
        <w:rPr>
          <w:rStyle w:val="EndnoteReference"/>
        </w:rPr>
        <w:endnoteRef/>
      </w:r>
      <w:r>
        <w:t xml:space="preserve"> </w:t>
      </w:r>
      <w:proofErr w:type="spellStart"/>
      <w:r>
        <w:t>Karst</w:t>
      </w:r>
      <w:proofErr w:type="spellEnd"/>
      <w:r>
        <w:t xml:space="preserve"> areas include features such as caves, sinkholes, and subsurface drainage networks, or conduits. </w:t>
      </w:r>
    </w:p>
  </w:endnote>
  <w:endnote w:id="3">
    <w:p w:rsidR="003450AF" w:rsidRDefault="003450AF">
      <w:pPr>
        <w:pStyle w:val="EndnoteText"/>
      </w:pPr>
      <w:r>
        <w:rPr>
          <w:rStyle w:val="EndnoteReference"/>
        </w:rPr>
        <w:endnoteRef/>
      </w:r>
      <w:r>
        <w:t xml:space="preserve"> Roberto Anaya, Conceptual Model for the Edwards-Trinity (Plateau) Aquifer System, Texas. In: </w:t>
      </w:r>
      <w:r>
        <w:rPr>
          <w:i/>
          <w:iCs/>
        </w:rPr>
        <w:t xml:space="preserve">Aquifers of the Edwards Plateau </w:t>
      </w:r>
      <w:r>
        <w:t>(</w:t>
      </w:r>
      <w:proofErr w:type="gramStart"/>
      <w:r>
        <w:t>eds</w:t>
      </w:r>
      <w:proofErr w:type="gramEnd"/>
      <w:r>
        <w:t xml:space="preserve">. Robert E. Mace, Edward S. Angle, and William F. </w:t>
      </w:r>
      <w:proofErr w:type="spellStart"/>
      <w:r>
        <w:t>Mullican</w:t>
      </w:r>
      <w:proofErr w:type="spellEnd"/>
      <w:r>
        <w:t xml:space="preserve">, III). Texas Water Development Board Report 360, February 2004, available at: </w:t>
      </w:r>
      <w:hyperlink r:id="rId1" w:history="1">
        <w:r>
          <w:rPr>
            <w:rStyle w:val="Hyperlink"/>
            <w:color w:val="auto"/>
            <w:szCs w:val="24"/>
          </w:rPr>
          <w:t>http://www.twdb.state.tx.us/publications/reports/GroundWaterReports/GWReports/R60AEPC/Ch02.pdf</w:t>
        </w:r>
      </w:hyperlink>
      <w:r>
        <w:t>.</w:t>
      </w:r>
    </w:p>
  </w:endnote>
  <w:endnote w:id="4">
    <w:p w:rsidR="003450AF" w:rsidRDefault="003450AF">
      <w:pPr>
        <w:pStyle w:val="EndnoteText"/>
      </w:pPr>
      <w:r>
        <w:rPr>
          <w:rStyle w:val="EndnoteReference"/>
        </w:rPr>
        <w:endnoteRef/>
      </w:r>
      <w:r>
        <w:t xml:space="preserve"> A portion of the watershed of the North Llano also occurs in Menard and Edwards County. A portion of the watershed of the South Llano also occurs in Sutton and Real County. </w:t>
      </w:r>
    </w:p>
  </w:endnote>
  <w:endnote w:id="5">
    <w:p w:rsidR="003450AF" w:rsidRDefault="003450AF">
      <w:pPr>
        <w:pStyle w:val="EndnoteText"/>
      </w:pPr>
      <w:r>
        <w:rPr>
          <w:rStyle w:val="EndnoteReference"/>
        </w:rPr>
        <w:endnoteRef/>
      </w:r>
      <w:r>
        <w:t xml:space="preserve"> Estimate based on Block Data from U.S. Census Bureau, accessed January 11, 2012; where Block Data are located in both watersheds, watershed assignments were based on imagery from Google Earth.</w:t>
      </w:r>
    </w:p>
  </w:endnote>
  <w:endnote w:id="6">
    <w:p w:rsidR="003450AF" w:rsidRDefault="003450AF" w:rsidP="00B25DDE">
      <w:pPr>
        <w:pStyle w:val="EndnoteText"/>
      </w:pPr>
      <w:r>
        <w:rPr>
          <w:rStyle w:val="EndnoteReference"/>
        </w:rPr>
        <w:endnoteRef/>
      </w:r>
      <w:r>
        <w:t xml:space="preserve"> Judge Delbert Roberts, Former County Judge, Kimble County, personal communication, June 19, 2008.</w:t>
      </w:r>
    </w:p>
  </w:endnote>
  <w:endnote w:id="7">
    <w:p w:rsidR="003450AF" w:rsidRDefault="003450AF">
      <w:pPr>
        <w:pStyle w:val="EndnoteText"/>
      </w:pPr>
      <w:r>
        <w:rPr>
          <w:rStyle w:val="EndnoteReference"/>
        </w:rPr>
        <w:endnoteRef/>
      </w:r>
      <w:r>
        <w:t xml:space="preserve"> Calculated as the difference between annual flow of Llano River at Junction less the annual flow of North Llano at Junction.</w:t>
      </w:r>
    </w:p>
  </w:endnote>
  <w:endnote w:id="8">
    <w:p w:rsidR="003450AF" w:rsidRDefault="003450AF" w:rsidP="0050530E">
      <w:pPr>
        <w:pStyle w:val="EndnoteText"/>
      </w:pPr>
      <w:r>
        <w:rPr>
          <w:rStyle w:val="EndnoteReference"/>
        </w:rPr>
        <w:endnoteRef/>
      </w:r>
      <w:r>
        <w:t xml:space="preserve"> Calculated as the difference between daily median flow of Llano River at Junction less the daily median flow of North Llano at Junction.</w:t>
      </w:r>
    </w:p>
  </w:endnote>
  <w:endnote w:id="9">
    <w:p w:rsidR="003450AF" w:rsidRDefault="003450AF">
      <w:pPr>
        <w:pStyle w:val="EndnoteText"/>
      </w:pPr>
      <w:r>
        <w:rPr>
          <w:rStyle w:val="EndnoteReference"/>
        </w:rPr>
        <w:endnoteRef/>
      </w:r>
      <w:r>
        <w:t xml:space="preserve"> The lowest recorded discharge for this gauge is 3.7 cubic feet per second on August 17, 1956.</w:t>
      </w:r>
    </w:p>
  </w:endnote>
  <w:endnote w:id="10">
    <w:p w:rsidR="003450AF" w:rsidRDefault="003450AF">
      <w:pPr>
        <w:pStyle w:val="EndnoteText"/>
        <w:rPr>
          <w:rStyle w:val="Hyperlink"/>
          <w:sz w:val="24"/>
          <w:szCs w:val="24"/>
        </w:rPr>
      </w:pPr>
      <w:r>
        <w:rPr>
          <w:rStyle w:val="EndnoteReference"/>
        </w:rPr>
        <w:endnoteRef/>
      </w:r>
      <w:r>
        <w:t xml:space="preserve"> </w:t>
      </w:r>
      <w:r>
        <w:rPr>
          <w:i/>
          <w:iCs/>
        </w:rPr>
        <w:t xml:space="preserve">See </w:t>
      </w:r>
      <w:r>
        <w:t>U.S. Geological Survey, National Water Information System (</w:t>
      </w:r>
      <w:proofErr w:type="spellStart"/>
      <w:r>
        <w:t>NWISWeb</w:t>
      </w:r>
      <w:proofErr w:type="spellEnd"/>
      <w:r>
        <w:t xml:space="preserve">) data, accessed June 16, 2008, available at </w:t>
      </w:r>
      <w:hyperlink r:id="rId2" w:history="1">
        <w:r>
          <w:rPr>
            <w:rStyle w:val="Hyperlink"/>
            <w:color w:val="auto"/>
            <w:szCs w:val="24"/>
          </w:rPr>
          <w:t>http://waterdata.usgs.gov/nwis/dv/?site_no=08150000&amp;amp;referred_module=sw</w:t>
        </w:r>
      </w:hyperlink>
      <w:r>
        <w:rPr>
          <w:rStyle w:val="Hyperlink"/>
        </w:rPr>
        <w:t>.</w:t>
      </w:r>
    </w:p>
  </w:endnote>
  <w:endnote w:id="11">
    <w:p w:rsidR="003450AF" w:rsidRDefault="003450AF" w:rsidP="00E04097">
      <w:pPr>
        <w:pStyle w:val="EndnoteText"/>
      </w:pPr>
      <w:r>
        <w:rPr>
          <w:rStyle w:val="EndnoteReference"/>
        </w:rPr>
        <w:endnoteRef/>
      </w:r>
      <w:r>
        <w:t xml:space="preserve"> US Geological Survey has operated a stream gauge on the North Llano River above Junction, from 1915 to 1977, and from 2001 to the present.</w:t>
      </w:r>
    </w:p>
  </w:endnote>
  <w:endnote w:id="12">
    <w:p w:rsidR="003450AF" w:rsidRDefault="003450AF">
      <w:pPr>
        <w:pStyle w:val="EndnoteText"/>
      </w:pPr>
      <w:r>
        <w:rPr>
          <w:rStyle w:val="EndnoteReference"/>
        </w:rPr>
        <w:endnoteRef/>
      </w:r>
      <w:r>
        <w:t xml:space="preserve"> Longest continuous period of record for both the North Llano at Junction and Llano River at Junction is 1915 to 1977. The North Llano gauge was discontinued in 1977; it was re-established in 2001.</w:t>
      </w:r>
    </w:p>
  </w:endnote>
  <w:endnote w:id="13">
    <w:p w:rsidR="003450AF" w:rsidRDefault="003450AF" w:rsidP="00B845D0">
      <w:pPr>
        <w:pStyle w:val="EndnoteText"/>
        <w:rPr>
          <w:rStyle w:val="Hyperlink"/>
          <w:sz w:val="24"/>
          <w:szCs w:val="24"/>
        </w:rPr>
      </w:pPr>
      <w:r>
        <w:rPr>
          <w:rStyle w:val="EndnoteReference"/>
        </w:rPr>
        <w:endnoteRef/>
      </w:r>
      <w:r>
        <w:t xml:space="preserve"> </w:t>
      </w:r>
      <w:r>
        <w:rPr>
          <w:i/>
          <w:iCs/>
        </w:rPr>
        <w:t xml:space="preserve">See </w:t>
      </w:r>
      <w:r>
        <w:t>U.S. Geological Survey, National Water Information System (</w:t>
      </w:r>
      <w:proofErr w:type="spellStart"/>
      <w:r>
        <w:t>NWISWeb</w:t>
      </w:r>
      <w:proofErr w:type="spellEnd"/>
      <w:r>
        <w:t xml:space="preserve">) data, accessed June 16, 2008, available at </w:t>
      </w:r>
      <w:hyperlink r:id="rId3" w:history="1">
        <w:r>
          <w:rPr>
            <w:rStyle w:val="Hyperlink"/>
            <w:color w:val="auto"/>
            <w:szCs w:val="24"/>
          </w:rPr>
          <w:t>http://waterdata.usgs.gov/nwis/dv/?site_no=08150000&amp;amp;referred_module=sw</w:t>
        </w:r>
      </w:hyperlink>
      <w:r>
        <w:rPr>
          <w:rStyle w:val="Hyperlink"/>
        </w:rPr>
        <w:t>.</w:t>
      </w:r>
    </w:p>
  </w:endnote>
  <w:endnote w:id="14">
    <w:p w:rsidR="003450AF" w:rsidRDefault="003450AF">
      <w:pPr>
        <w:pStyle w:val="EndnoteText"/>
      </w:pPr>
      <w:r>
        <w:rPr>
          <w:rStyle w:val="EndnoteReference"/>
        </w:rPr>
        <w:endnoteRef/>
      </w:r>
      <w:r>
        <w:t xml:space="preserve"> The peak discharge measurement for the South Llano is calculated by subtracting the peak discharge measurement for the North Llano River at Junction from the peak discharge measurement for the Llano River at Junction.</w:t>
      </w:r>
    </w:p>
  </w:endnote>
  <w:endnote w:id="15">
    <w:p w:rsidR="003450AF" w:rsidRDefault="003450AF">
      <w:pPr>
        <w:pStyle w:val="EndnoteText"/>
      </w:pPr>
      <w:r>
        <w:rPr>
          <w:rStyle w:val="EndnoteReference"/>
        </w:rPr>
        <w:endnoteRef/>
      </w:r>
      <w:r>
        <w:t xml:space="preserve"> Franklin T. </w:t>
      </w:r>
      <w:proofErr w:type="spellStart"/>
      <w:r>
        <w:t>Heitmuller</w:t>
      </w:r>
      <w:proofErr w:type="spellEnd"/>
      <w:r>
        <w:t xml:space="preserve"> and Brian D. Reece, “Database of historically documented springs and spring flow measurements in Texas.” US Geological Survey Open-File Report 03-315, 2003, available at:</w:t>
      </w:r>
    </w:p>
    <w:p w:rsidR="003450AF" w:rsidRDefault="003450AF">
      <w:pPr>
        <w:pStyle w:val="EndnoteText"/>
      </w:pPr>
      <w:hyperlink r:id="rId4" w:history="1">
        <w:r>
          <w:rPr>
            <w:rStyle w:val="Hyperlink"/>
            <w:color w:val="auto"/>
          </w:rPr>
          <w:t>http://pubs.er.usgs.gov/usgspubs/ofr/ofr03315</w:t>
        </w:r>
      </w:hyperlink>
      <w:r>
        <w:rPr>
          <w:rStyle w:val="Hyperlink"/>
        </w:rPr>
        <w:t>.</w:t>
      </w:r>
    </w:p>
  </w:endnote>
  <w:endnote w:id="16">
    <w:p w:rsidR="003450AF" w:rsidRDefault="003450AF">
      <w:pPr>
        <w:pStyle w:val="EndnoteText"/>
      </w:pPr>
      <w:r>
        <w:rPr>
          <w:rStyle w:val="EndnoteReference"/>
        </w:rPr>
        <w:endnoteRef/>
      </w:r>
      <w:r>
        <w:t xml:space="preserve"> Gunnar </w:t>
      </w:r>
      <w:proofErr w:type="spellStart"/>
      <w:proofErr w:type="gramStart"/>
      <w:r>
        <w:t>Brune</w:t>
      </w:r>
      <w:proofErr w:type="spellEnd"/>
      <w:r>
        <w:t>,</w:t>
      </w:r>
      <w:proofErr w:type="gramEnd"/>
      <w:r>
        <w:t xml:space="preserve"> </w:t>
      </w:r>
      <w:r>
        <w:rPr>
          <w:i/>
          <w:iCs/>
        </w:rPr>
        <w:t>Springs of Texas</w:t>
      </w:r>
      <w:r>
        <w:t>, volume 1. Fort Worth, Tex., Branch-Smith, Inc., 1981.</w:t>
      </w:r>
    </w:p>
  </w:endnote>
  <w:endnote w:id="17">
    <w:p w:rsidR="003450AF" w:rsidRDefault="003450AF" w:rsidP="00345B2C">
      <w:pPr>
        <w:rPr>
          <w:sz w:val="20"/>
        </w:rPr>
      </w:pPr>
      <w:r>
        <w:rPr>
          <w:rStyle w:val="EndnoteReference"/>
          <w:sz w:val="20"/>
        </w:rPr>
        <w:endnoteRef/>
      </w:r>
      <w:r>
        <w:rPr>
          <w:sz w:val="20"/>
        </w:rPr>
        <w:t xml:space="preserve"> </w:t>
      </w:r>
      <w:proofErr w:type="gramStart"/>
      <w:r>
        <w:rPr>
          <w:sz w:val="20"/>
        </w:rPr>
        <w:t xml:space="preserve">Raymond M. Slade, </w:t>
      </w:r>
      <w:proofErr w:type="spellStart"/>
      <w:r>
        <w:rPr>
          <w:sz w:val="20"/>
        </w:rPr>
        <w:t>Jr</w:t>
      </w:r>
      <w:proofErr w:type="spellEnd"/>
      <w:r>
        <w:rPr>
          <w:sz w:val="20"/>
        </w:rPr>
        <w:t xml:space="preserve">, J. Taylor Bentley, and Dana Michaud, “Results of </w:t>
      </w:r>
      <w:proofErr w:type="spellStart"/>
      <w:r>
        <w:rPr>
          <w:sz w:val="20"/>
        </w:rPr>
        <w:t>streamflow</w:t>
      </w:r>
      <w:proofErr w:type="spellEnd"/>
      <w:r>
        <w:rPr>
          <w:sz w:val="20"/>
        </w:rPr>
        <w:t xml:space="preserve"> gain-loss studies in Texas, with emphasis on gains and losses to major and minor aquifers, Texas, 2000”.</w:t>
      </w:r>
      <w:proofErr w:type="gramEnd"/>
      <w:r>
        <w:rPr>
          <w:sz w:val="20"/>
        </w:rPr>
        <w:t xml:space="preserve"> U.S. Geological Survey Open-File Report 2002-68, 2002, available at: </w:t>
      </w:r>
      <w:hyperlink r:id="rId5" w:history="1">
        <w:r>
          <w:rPr>
            <w:rStyle w:val="Hyperlink"/>
            <w:color w:val="auto"/>
            <w:sz w:val="20"/>
          </w:rPr>
          <w:t>http://pubs.er.usgs.gov/usgspubs/ofr/ofr0268</w:t>
        </w:r>
      </w:hyperlink>
      <w:r>
        <w:rPr>
          <w:rStyle w:val="Hyperlink"/>
          <w:sz w:val="20"/>
        </w:rPr>
        <w:t>.</w:t>
      </w:r>
    </w:p>
  </w:endnote>
  <w:endnote w:id="18">
    <w:p w:rsidR="003450AF" w:rsidRDefault="003450AF">
      <w:pPr>
        <w:pStyle w:val="EndnoteText"/>
      </w:pPr>
      <w:r>
        <w:rPr>
          <w:rStyle w:val="EndnoteReference"/>
        </w:rPr>
        <w:endnoteRef/>
      </w:r>
      <w:r>
        <w:t xml:space="preserve"> Gunnar </w:t>
      </w:r>
      <w:proofErr w:type="spellStart"/>
      <w:proofErr w:type="gramStart"/>
      <w:r>
        <w:t>Brune</w:t>
      </w:r>
      <w:proofErr w:type="spellEnd"/>
      <w:r>
        <w:t>,</w:t>
      </w:r>
      <w:proofErr w:type="gramEnd"/>
      <w:r>
        <w:t xml:space="preserve"> </w:t>
      </w:r>
      <w:r>
        <w:rPr>
          <w:i/>
          <w:iCs/>
        </w:rPr>
        <w:t>Springs of Texas</w:t>
      </w:r>
      <w:r>
        <w:t>, volume 1. Fort Worth, Tex., Branch-Smith, Inc., 1981.</w:t>
      </w:r>
    </w:p>
  </w:endnote>
  <w:endnote w:id="19">
    <w:p w:rsidR="003450AF" w:rsidRDefault="003450AF">
      <w:pPr>
        <w:pStyle w:val="EndnoteText"/>
      </w:pPr>
      <w:r>
        <w:rPr>
          <w:rStyle w:val="EndnoteReference"/>
        </w:rPr>
        <w:endnoteRef/>
      </w:r>
      <w:r>
        <w:t xml:space="preserve"> </w:t>
      </w:r>
      <w:proofErr w:type="spellStart"/>
      <w:r>
        <w:t>Heitmuller</w:t>
      </w:r>
      <w:proofErr w:type="spellEnd"/>
      <w:r>
        <w:t xml:space="preserve"> and Reece, US Geological Survey Open-File Report 03-315, 2003.</w:t>
      </w:r>
    </w:p>
  </w:endnote>
  <w:endnote w:id="20">
    <w:p w:rsidR="003450AF" w:rsidRDefault="003450AF">
      <w:pPr>
        <w:pStyle w:val="EndnoteText"/>
      </w:pPr>
      <w:r>
        <w:rPr>
          <w:rStyle w:val="EndnoteReference"/>
        </w:rPr>
        <w:endnoteRef/>
      </w:r>
      <w:r>
        <w:t xml:space="preserve"> Ibid.</w:t>
      </w:r>
    </w:p>
  </w:endnote>
  <w:endnote w:id="21">
    <w:p w:rsidR="003450AF" w:rsidRDefault="003450AF">
      <w:pPr>
        <w:pStyle w:val="EndnoteText"/>
      </w:pPr>
      <w:r>
        <w:rPr>
          <w:rStyle w:val="EndnoteReference"/>
        </w:rPr>
        <w:endnoteRef/>
      </w:r>
      <w:r>
        <w:t xml:space="preserve"> It should be noted that the measurements presented in Table 2 were not always obtained on the same day. As these measurements </w:t>
      </w:r>
      <w:proofErr w:type="gramStart"/>
      <w:r>
        <w:t>are presumed to have been taken</w:t>
      </w:r>
      <w:proofErr w:type="gramEnd"/>
      <w:r>
        <w:t xml:space="preserve"> during dry periods, daily fluctuations are assumed to be minimal. </w:t>
      </w:r>
    </w:p>
  </w:endnote>
  <w:endnote w:id="22">
    <w:p w:rsidR="003450AF" w:rsidRDefault="003450AF">
      <w:pPr>
        <w:pStyle w:val="EndnoteText"/>
      </w:pPr>
      <w:r>
        <w:rPr>
          <w:rStyle w:val="EndnoteReference"/>
        </w:rPr>
        <w:endnoteRef/>
      </w:r>
      <w:r>
        <w:t xml:space="preserve"> </w:t>
      </w:r>
      <w:proofErr w:type="spellStart"/>
      <w:r>
        <w:t>Heitmuller</w:t>
      </w:r>
      <w:proofErr w:type="spellEnd"/>
      <w:r>
        <w:t xml:space="preserve"> and Reece, US Geological Survey Open-File Report 03-315, 2003.</w:t>
      </w:r>
    </w:p>
  </w:endnote>
  <w:endnote w:id="23">
    <w:p w:rsidR="003450AF" w:rsidRDefault="003450AF">
      <w:pPr>
        <w:rPr>
          <w:sz w:val="20"/>
        </w:rPr>
      </w:pPr>
      <w:r>
        <w:rPr>
          <w:rStyle w:val="EndnoteReference"/>
          <w:sz w:val="20"/>
        </w:rPr>
        <w:endnoteRef/>
      </w:r>
      <w:r>
        <w:rPr>
          <w:sz w:val="20"/>
        </w:rPr>
        <w:t xml:space="preserve"> </w:t>
      </w:r>
      <w:proofErr w:type="gramStart"/>
      <w:r>
        <w:rPr>
          <w:sz w:val="20"/>
        </w:rPr>
        <w:t xml:space="preserve">Raymond M. Slade, </w:t>
      </w:r>
      <w:proofErr w:type="spellStart"/>
      <w:r>
        <w:rPr>
          <w:sz w:val="20"/>
        </w:rPr>
        <w:t>Jr</w:t>
      </w:r>
      <w:proofErr w:type="spellEnd"/>
      <w:r>
        <w:rPr>
          <w:sz w:val="20"/>
        </w:rPr>
        <w:t xml:space="preserve">, J. Taylor Bentley, and Dana Michaud, “Results of </w:t>
      </w:r>
      <w:proofErr w:type="spellStart"/>
      <w:r>
        <w:rPr>
          <w:sz w:val="20"/>
        </w:rPr>
        <w:t>streamflow</w:t>
      </w:r>
      <w:proofErr w:type="spellEnd"/>
      <w:r>
        <w:rPr>
          <w:sz w:val="20"/>
        </w:rPr>
        <w:t xml:space="preserve"> gain-loss studies in Texas, with emphasis on gains and losses to major and minor aquifers, Texas, 2000”.</w:t>
      </w:r>
      <w:proofErr w:type="gramEnd"/>
      <w:r>
        <w:rPr>
          <w:sz w:val="20"/>
        </w:rPr>
        <w:t xml:space="preserve"> U.S. Geological Survey Open-File Report 2002-68, 2002, available at: </w:t>
      </w:r>
      <w:hyperlink r:id="rId6" w:history="1">
        <w:r>
          <w:rPr>
            <w:rStyle w:val="Hyperlink"/>
            <w:color w:val="auto"/>
            <w:sz w:val="20"/>
          </w:rPr>
          <w:t>http://pubs.er.usgs.gov/usgspubs/ofr/ofr0268</w:t>
        </w:r>
      </w:hyperlink>
      <w:r>
        <w:rPr>
          <w:rStyle w:val="Hyperlink"/>
          <w:sz w:val="20"/>
        </w:rPr>
        <w:t>.</w:t>
      </w:r>
    </w:p>
  </w:endnote>
  <w:endnote w:id="24">
    <w:p w:rsidR="003450AF" w:rsidRDefault="003450AF">
      <w:pPr>
        <w:rPr>
          <w:sz w:val="20"/>
        </w:rPr>
      </w:pPr>
      <w:r>
        <w:rPr>
          <w:rStyle w:val="EndnoteReference"/>
          <w:sz w:val="20"/>
        </w:rPr>
        <w:endnoteRef/>
      </w:r>
      <w:r>
        <w:rPr>
          <w:sz w:val="20"/>
        </w:rPr>
        <w:t xml:space="preserve"> </w:t>
      </w:r>
      <w:proofErr w:type="gramStart"/>
      <w:r>
        <w:rPr>
          <w:sz w:val="20"/>
        </w:rPr>
        <w:t xml:space="preserve">E.L. </w:t>
      </w:r>
      <w:proofErr w:type="spellStart"/>
      <w:r>
        <w:rPr>
          <w:sz w:val="20"/>
        </w:rPr>
        <w:t>Kuniansky</w:t>
      </w:r>
      <w:proofErr w:type="spellEnd"/>
      <w:r>
        <w:rPr>
          <w:sz w:val="20"/>
        </w:rPr>
        <w:t xml:space="preserve">, “Precipitation, </w:t>
      </w:r>
      <w:proofErr w:type="spellStart"/>
      <w:r>
        <w:rPr>
          <w:sz w:val="20"/>
        </w:rPr>
        <w:t>streamflow</w:t>
      </w:r>
      <w:proofErr w:type="spellEnd"/>
      <w:r>
        <w:rPr>
          <w:sz w:val="20"/>
        </w:rPr>
        <w:t xml:space="preserve">, and </w:t>
      </w:r>
      <w:proofErr w:type="spellStart"/>
      <w:r>
        <w:rPr>
          <w:sz w:val="20"/>
        </w:rPr>
        <w:t>baseflow</w:t>
      </w:r>
      <w:proofErr w:type="spellEnd"/>
      <w:r>
        <w:rPr>
          <w:sz w:val="20"/>
        </w:rPr>
        <w:t>, in West-Central Texas, December 1974 through March 1977”.</w:t>
      </w:r>
      <w:proofErr w:type="gramEnd"/>
      <w:r>
        <w:rPr>
          <w:sz w:val="20"/>
        </w:rPr>
        <w:t xml:space="preserve"> U.S. Geological Survey Water-Resources Investigations Report 89-4208, 1989, available at:</w:t>
      </w:r>
      <w:r>
        <w:rPr>
          <w:rStyle w:val="Hyperlink"/>
          <w:color w:val="auto"/>
          <w:sz w:val="20"/>
        </w:rPr>
        <w:t xml:space="preserve"> </w:t>
      </w:r>
      <w:hyperlink r:id="rId7" w:history="1">
        <w:r>
          <w:rPr>
            <w:rStyle w:val="Hyperlink"/>
            <w:color w:val="auto"/>
            <w:sz w:val="20"/>
          </w:rPr>
          <w:t>http://pubs.er.usgs.gov/usgspubs/wri/wri884218</w:t>
        </w:r>
      </w:hyperlink>
      <w:r>
        <w:rPr>
          <w:rStyle w:val="Hyperlink"/>
          <w:sz w:val="20"/>
        </w:rPr>
        <w:t>.</w:t>
      </w:r>
    </w:p>
  </w:endnote>
  <w:endnote w:id="25">
    <w:p w:rsidR="003450AF" w:rsidRPr="00AE43A5" w:rsidRDefault="003450AF" w:rsidP="008911CB">
      <w:pPr>
        <w:pStyle w:val="EDF-Footnote"/>
        <w:rPr>
          <w:rFonts w:ascii="Times New Roman" w:hAnsi="Times New Roman"/>
          <w:sz w:val="20"/>
        </w:rPr>
      </w:pPr>
      <w:r w:rsidRPr="00AE43A5">
        <w:rPr>
          <w:rStyle w:val="EndnoteReference"/>
          <w:rFonts w:ascii="Times New Roman" w:hAnsi="Times New Roman"/>
          <w:sz w:val="20"/>
        </w:rPr>
        <w:endnoteRef/>
      </w:r>
      <w:r w:rsidRPr="00AE43A5">
        <w:rPr>
          <w:rFonts w:ascii="Times New Roman" w:hAnsi="Times New Roman"/>
          <w:sz w:val="20"/>
        </w:rPr>
        <w:t xml:space="preserve"> Gunnar </w:t>
      </w:r>
      <w:proofErr w:type="spellStart"/>
      <w:proofErr w:type="gramStart"/>
      <w:r w:rsidRPr="00AE43A5">
        <w:rPr>
          <w:rFonts w:ascii="Times New Roman" w:hAnsi="Times New Roman"/>
          <w:sz w:val="20"/>
        </w:rPr>
        <w:t>Brune</w:t>
      </w:r>
      <w:proofErr w:type="spellEnd"/>
      <w:r w:rsidRPr="00AE43A5">
        <w:rPr>
          <w:rFonts w:ascii="Times New Roman" w:hAnsi="Times New Roman"/>
          <w:sz w:val="20"/>
        </w:rPr>
        <w:t>,</w:t>
      </w:r>
      <w:proofErr w:type="gramEnd"/>
      <w:r w:rsidRPr="00AE43A5">
        <w:rPr>
          <w:rFonts w:ascii="Times New Roman" w:hAnsi="Times New Roman"/>
          <w:sz w:val="20"/>
        </w:rPr>
        <w:t xml:space="preserve"> </w:t>
      </w:r>
      <w:r w:rsidRPr="00AE43A5">
        <w:rPr>
          <w:rFonts w:ascii="Times New Roman" w:hAnsi="Times New Roman"/>
          <w:i/>
          <w:sz w:val="20"/>
        </w:rPr>
        <w:t>Springs of Texas</w:t>
      </w:r>
      <w:r w:rsidRPr="00AE43A5">
        <w:rPr>
          <w:rFonts w:ascii="Times New Roman" w:hAnsi="Times New Roman"/>
          <w:sz w:val="20"/>
        </w:rPr>
        <w:t>, volume 1. Forth Worth, Tex., Branch-Smith, Inc., 1981.</w:t>
      </w:r>
    </w:p>
    <w:p w:rsidR="003450AF" w:rsidRPr="00AE43A5" w:rsidRDefault="003450AF" w:rsidP="008911CB">
      <w:pPr>
        <w:pStyle w:val="EDF-Footnote"/>
        <w:rPr>
          <w:rFonts w:ascii="Times New Roman" w:hAnsi="Times New Roman"/>
          <w:sz w:val="20"/>
        </w:rPr>
      </w:pPr>
    </w:p>
  </w:endnote>
  <w:endnote w:id="26">
    <w:p w:rsidR="003450AF" w:rsidRDefault="003450AF" w:rsidP="00BE3A42">
      <w:pPr>
        <w:pStyle w:val="EndnoteText"/>
      </w:pPr>
      <w:r>
        <w:rPr>
          <w:rStyle w:val="EndnoteReference"/>
        </w:rPr>
        <w:endnoteRef/>
      </w:r>
      <w:r>
        <w:t xml:space="preserve"> </w:t>
      </w:r>
      <w:proofErr w:type="gramStart"/>
      <w:r>
        <w:t xml:space="preserve">Geary </w:t>
      </w:r>
      <w:proofErr w:type="spellStart"/>
      <w:r>
        <w:t>Schindel</w:t>
      </w:r>
      <w:proofErr w:type="spellEnd"/>
      <w:r>
        <w:t>, Chief Technical Officer, Edwards Aquifer Authority, written communication, August 5, 2008.</w:t>
      </w:r>
      <w:proofErr w:type="gramEnd"/>
    </w:p>
  </w:endnote>
  <w:endnote w:id="27">
    <w:p w:rsidR="003450AF" w:rsidRDefault="003450AF">
      <w:pPr>
        <w:rPr>
          <w:sz w:val="20"/>
        </w:rPr>
      </w:pPr>
      <w:r>
        <w:rPr>
          <w:rStyle w:val="EndnoteReference"/>
          <w:sz w:val="20"/>
        </w:rPr>
        <w:endnoteRef/>
      </w:r>
      <w:r>
        <w:rPr>
          <w:sz w:val="20"/>
        </w:rPr>
        <w:t xml:space="preserve"> Eve L. </w:t>
      </w:r>
      <w:proofErr w:type="spellStart"/>
      <w:r>
        <w:rPr>
          <w:sz w:val="20"/>
        </w:rPr>
        <w:t>Kuniansky</w:t>
      </w:r>
      <w:proofErr w:type="spellEnd"/>
      <w:r>
        <w:rPr>
          <w:sz w:val="20"/>
        </w:rPr>
        <w:t xml:space="preserve"> and Kelly Q. </w:t>
      </w:r>
      <w:proofErr w:type="spellStart"/>
      <w:r>
        <w:rPr>
          <w:sz w:val="20"/>
        </w:rPr>
        <w:t>Holligan</w:t>
      </w:r>
      <w:proofErr w:type="spellEnd"/>
      <w:r>
        <w:rPr>
          <w:sz w:val="20"/>
        </w:rPr>
        <w:t xml:space="preserve">, “Simulations of flow in the Edwards-Trinity aquifer system and contiguous hydraulically connected units, west-central Texas”. </w:t>
      </w:r>
      <w:proofErr w:type="gramStart"/>
      <w:r>
        <w:rPr>
          <w:sz w:val="20"/>
        </w:rPr>
        <w:t xml:space="preserve">US Geological Survey Water-Resources Investigations Report 93-4039, 1993, available at </w:t>
      </w:r>
      <w:hyperlink r:id="rId8" w:history="1">
        <w:proofErr w:type="gramEnd"/>
        <w:r>
          <w:rPr>
            <w:rStyle w:val="Hyperlink"/>
            <w:color w:val="auto"/>
            <w:sz w:val="20"/>
          </w:rPr>
          <w:t>http://pubs.er.usgs.gov/usgspubs/wri/wri934039</w:t>
        </w:r>
        <w:proofErr w:type="gramStart"/>
      </w:hyperlink>
      <w:r>
        <w:rPr>
          <w:rStyle w:val="Hyperlink"/>
          <w:color w:val="auto"/>
          <w:sz w:val="20"/>
        </w:rPr>
        <w:t>.</w:t>
      </w:r>
      <w:proofErr w:type="gramEnd"/>
    </w:p>
  </w:endnote>
  <w:endnote w:id="28">
    <w:p w:rsidR="003450AF" w:rsidRDefault="003450AF">
      <w:pPr>
        <w:pStyle w:val="EndnoteText"/>
      </w:pPr>
      <w:r>
        <w:rPr>
          <w:rStyle w:val="EndnoteReference"/>
        </w:rPr>
        <w:endnoteRef/>
      </w:r>
      <w:r>
        <w:t xml:space="preserve"> </w:t>
      </w:r>
      <w:proofErr w:type="spellStart"/>
      <w:r>
        <w:t>Loyd</w:t>
      </w:r>
      <w:proofErr w:type="spellEnd"/>
      <w:r>
        <w:t xml:space="preserve"> E. Walker, 1979. “Occurrence, availability, and chemical quality of ground water in the Edwards plateau region of Texas”. Texas Department of Water Resources, Report 235, available at: </w:t>
      </w:r>
      <w:hyperlink r:id="rId9" w:history="1">
        <w:r>
          <w:rPr>
            <w:rStyle w:val="Hyperlink"/>
            <w:color w:val="auto"/>
          </w:rPr>
          <w:t>http://www.twdb.state.tx.us/publications/reports/GroundWaterReports/GWReports/Individual%20Report%20htm%20files/Report%20235.htm</w:t>
        </w:r>
      </w:hyperlink>
      <w:r>
        <w:rPr>
          <w:rStyle w:val="Hyperlink"/>
          <w:color w:val="auto"/>
        </w:rPr>
        <w:t>.</w:t>
      </w:r>
    </w:p>
  </w:endnote>
  <w:endnote w:id="29">
    <w:p w:rsidR="003450AF" w:rsidRDefault="003450AF" w:rsidP="00D8755A">
      <w:pPr>
        <w:pStyle w:val="EndnoteText"/>
      </w:pPr>
      <w:r>
        <w:rPr>
          <w:rStyle w:val="EndnoteReference"/>
        </w:rPr>
        <w:endnoteRef/>
      </w:r>
      <w:r>
        <w:t xml:space="preserve"> </w:t>
      </w:r>
      <w:r>
        <w:rPr>
          <w:i/>
          <w:iCs/>
        </w:rPr>
        <w:t>See</w:t>
      </w:r>
      <w:r>
        <w:t xml:space="preserve"> plate 3 in </w:t>
      </w:r>
      <w:proofErr w:type="spellStart"/>
      <w:r>
        <w:t>Kuniansky</w:t>
      </w:r>
      <w:proofErr w:type="spellEnd"/>
      <w:r>
        <w:t xml:space="preserve"> and </w:t>
      </w:r>
      <w:proofErr w:type="spellStart"/>
      <w:r>
        <w:t>Holligan</w:t>
      </w:r>
      <w:proofErr w:type="spellEnd"/>
      <w:r>
        <w:t>, 1993.</w:t>
      </w:r>
    </w:p>
  </w:endnote>
  <w:endnote w:id="30">
    <w:p w:rsidR="003450AF" w:rsidRDefault="003450AF">
      <w:pPr>
        <w:pStyle w:val="EndnoteText"/>
      </w:pPr>
      <w:r>
        <w:rPr>
          <w:rStyle w:val="EndnoteReference"/>
        </w:rPr>
        <w:endnoteRef/>
      </w:r>
      <w:r>
        <w:t xml:space="preserve"> Daniel B. Stevens and Associates, Inc, “</w:t>
      </w:r>
      <w:proofErr w:type="spellStart"/>
      <w:r>
        <w:t>Geodatabase</w:t>
      </w:r>
      <w:proofErr w:type="spellEnd"/>
      <w:r>
        <w:t xml:space="preserve"> Deliverable for Kimble County”, April 29, 2009.</w:t>
      </w:r>
    </w:p>
  </w:endnote>
  <w:endnote w:id="31">
    <w:p w:rsidR="003450AF" w:rsidRDefault="003450AF" w:rsidP="00913E21">
      <w:pPr>
        <w:pStyle w:val="EndnoteText"/>
      </w:pPr>
      <w:r>
        <w:rPr>
          <w:rStyle w:val="EndnoteReference"/>
        </w:rPr>
        <w:endnoteRef/>
      </w:r>
      <w:r>
        <w:t xml:space="preserve"> The monitoring well was installed in 2009. </w:t>
      </w:r>
      <w:r>
        <w:rPr>
          <w:i/>
          <w:iCs/>
        </w:rPr>
        <w:t xml:space="preserve">See </w:t>
      </w:r>
      <w:r>
        <w:t>U.S. Geological Survey, National Water Information System (</w:t>
      </w:r>
      <w:proofErr w:type="spellStart"/>
      <w:r>
        <w:t>NWISWeb</w:t>
      </w:r>
      <w:proofErr w:type="spellEnd"/>
      <w:r>
        <w:t>) data, accessed January 14, 2008. Available at</w:t>
      </w:r>
      <w:r w:rsidRPr="00BF68CC">
        <w:t xml:space="preserve"> http://nwis.waterdata.usgs.gov/tx/nwis/gwlevels/</w:t>
      </w:r>
      <w:proofErr w:type="gramStart"/>
      <w:r w:rsidRPr="00BF68CC">
        <w:t>?site</w:t>
      </w:r>
      <w:proofErr w:type="gramEnd"/>
      <w:r w:rsidRPr="00BF68CC">
        <w:t>_no=300259100030801&amp;agency_cd=USGS</w:t>
      </w:r>
    </w:p>
  </w:endnote>
  <w:endnote w:id="32">
    <w:p w:rsidR="003450AF" w:rsidRDefault="003450AF">
      <w:pPr>
        <w:pStyle w:val="EndnoteText"/>
      </w:pPr>
      <w:r>
        <w:rPr>
          <w:rStyle w:val="EndnoteReference"/>
        </w:rPr>
        <w:endnoteRef/>
      </w:r>
      <w:r>
        <w:t xml:space="preserve"> </w:t>
      </w:r>
      <w:proofErr w:type="gramStart"/>
      <w:r>
        <w:t xml:space="preserve">Geary </w:t>
      </w:r>
      <w:proofErr w:type="spellStart"/>
      <w:r>
        <w:t>Schindel</w:t>
      </w:r>
      <w:proofErr w:type="spellEnd"/>
      <w:r>
        <w:t>, written communication, August 5, 2008.</w:t>
      </w:r>
      <w:proofErr w:type="gramEnd"/>
    </w:p>
  </w:endnote>
  <w:endnote w:id="33">
    <w:p w:rsidR="003450AF" w:rsidRPr="001D526E" w:rsidRDefault="003450AF">
      <w:pPr>
        <w:pStyle w:val="EndnoteText"/>
      </w:pPr>
      <w:r>
        <w:rPr>
          <w:rStyle w:val="EndnoteReference"/>
        </w:rPr>
        <w:endnoteRef/>
      </w:r>
      <w:r>
        <w:t xml:space="preserve"> Ronald T. Green and F. Paul </w:t>
      </w:r>
      <w:proofErr w:type="spellStart"/>
      <w:r>
        <w:t>Bertetti</w:t>
      </w:r>
      <w:proofErr w:type="spellEnd"/>
      <w:r>
        <w:t>, “</w:t>
      </w:r>
      <w:r>
        <w:rPr>
          <w:i/>
        </w:rPr>
        <w:t>Investigating the water resources of the Western Edwards-Trinity Aquifer”</w:t>
      </w:r>
      <w:r>
        <w:t xml:space="preserve">, Southwest Research Institute Project No. 20-15466, June 2010, available at </w:t>
      </w:r>
      <w:r w:rsidRPr="001D526E">
        <w:t>http://southllano.org/blog/wp-content/files/WesternEdwardsTrinityFinalReport.pdf</w:t>
      </w:r>
    </w:p>
  </w:endnote>
  <w:endnote w:id="34">
    <w:p w:rsidR="003450AF" w:rsidRDefault="003450AF" w:rsidP="007103DB">
      <w:pPr>
        <w:pStyle w:val="EndnoteText"/>
        <w:rPr>
          <w:rStyle w:val="Hyperlink"/>
          <w:sz w:val="24"/>
          <w:szCs w:val="24"/>
        </w:rPr>
      </w:pPr>
      <w:r>
        <w:rPr>
          <w:rStyle w:val="EndnoteReference"/>
        </w:rPr>
        <w:endnoteRef/>
      </w:r>
      <w:r>
        <w:t xml:space="preserve"> </w:t>
      </w:r>
      <w:proofErr w:type="gramStart"/>
      <w:r>
        <w:t xml:space="preserve">Roberto Anaya and Ian Jones, “Groundwater availability model for the Edwards-Trinity (Plateau) and </w:t>
      </w:r>
      <w:proofErr w:type="spellStart"/>
      <w:r>
        <w:t>Cenezoic</w:t>
      </w:r>
      <w:proofErr w:type="spellEnd"/>
      <w:r>
        <w:t xml:space="preserve"> Pecos alluvium aquifer system, Texas”, GAM Report, Texas Water Development Board, 2004, available at </w:t>
      </w:r>
      <w:hyperlink r:id="rId10" w:history="1">
        <w:proofErr w:type="gramEnd"/>
        <w:r>
          <w:rPr>
            <w:rStyle w:val="Hyperlink"/>
            <w:color w:val="auto"/>
            <w:szCs w:val="24"/>
          </w:rPr>
          <w:t>http://www.twdb.state.tx.us/gam/eddt_p/eddt_p.htm</w:t>
        </w:r>
        <w:proofErr w:type="gramStart"/>
      </w:hyperlink>
      <w:r>
        <w:rPr>
          <w:rStyle w:val="Hyperlink"/>
          <w:color w:val="auto"/>
        </w:rPr>
        <w:t>.</w:t>
      </w:r>
      <w:proofErr w:type="gramEnd"/>
    </w:p>
  </w:endnote>
  <w:endnote w:id="35">
    <w:p w:rsidR="003450AF" w:rsidRDefault="003450AF">
      <w:pPr>
        <w:pStyle w:val="EndnoteText"/>
      </w:pPr>
      <w:r>
        <w:rPr>
          <w:rStyle w:val="EndnoteReference"/>
        </w:rPr>
        <w:endnoteRef/>
      </w:r>
      <w:r>
        <w:t xml:space="preserve"> See “</w:t>
      </w:r>
      <w:r>
        <w:rPr>
          <w:i/>
        </w:rPr>
        <w:t>Investigating the water resources of the Western Edwards-Trinity Aquifer”.</w:t>
      </w:r>
    </w:p>
  </w:endnote>
  <w:endnote w:id="36">
    <w:p w:rsidR="003450AF" w:rsidRDefault="003450AF" w:rsidP="007103DB">
      <w:pPr>
        <w:pStyle w:val="EndnoteText"/>
      </w:pPr>
      <w:r>
        <w:rPr>
          <w:rStyle w:val="EndnoteReference"/>
        </w:rPr>
        <w:endnoteRef/>
      </w:r>
      <w:r>
        <w:t xml:space="preserve"> Malcolm K. </w:t>
      </w:r>
      <w:proofErr w:type="spellStart"/>
      <w:r>
        <w:t>Cleaveland</w:t>
      </w:r>
      <w:proofErr w:type="spellEnd"/>
      <w:r>
        <w:t xml:space="preserve">, Professor of Geography, University of Arkansas, 2006. Extended chronology of drought in the San Antonio Area, Revised Report March 30, 2006, available at </w:t>
      </w:r>
      <w:hyperlink r:id="rId11" w:history="1">
        <w:r>
          <w:rPr>
            <w:rStyle w:val="Hyperlink"/>
            <w:color w:val="auto"/>
          </w:rPr>
          <w:t>http://www.gbra.org/Documents/Reports/TreeRingStudy.pdf</w:t>
        </w:r>
      </w:hyperlink>
      <w:r>
        <w:t>.</w:t>
      </w:r>
    </w:p>
  </w:endnote>
  <w:endnote w:id="37">
    <w:p w:rsidR="003450AF" w:rsidRDefault="003450AF" w:rsidP="00321EE0">
      <w:pPr>
        <w:pStyle w:val="EndnoteText"/>
      </w:pPr>
      <w:r>
        <w:rPr>
          <w:rStyle w:val="EndnoteReference"/>
        </w:rPr>
        <w:endnoteRef/>
      </w:r>
      <w:r>
        <w:t xml:space="preserve"> An acre-foot is 325,851 gallons and represents the amount of water necessary to cover one acre of land with one foot of water.</w:t>
      </w:r>
    </w:p>
  </w:endnote>
  <w:endnote w:id="38">
    <w:p w:rsidR="003450AF" w:rsidRPr="005777E5" w:rsidRDefault="003450AF">
      <w:pPr>
        <w:pStyle w:val="EndnoteText"/>
      </w:pPr>
      <w:r>
        <w:rPr>
          <w:rStyle w:val="EndnoteReference"/>
        </w:rPr>
        <w:endnoteRef/>
      </w:r>
      <w:r>
        <w:t xml:space="preserve"> </w:t>
      </w:r>
      <w:r>
        <w:rPr>
          <w:i/>
        </w:rPr>
        <w:t>See</w:t>
      </w:r>
      <w:r>
        <w:t xml:space="preserve"> “Desired future conditions for Real Edwards conservation and reclamation district”, available at </w:t>
      </w:r>
      <w:r w:rsidRPr="00626C40">
        <w:t>http://recrd.org/PDF_Files/Desired%20Future%20Conditions__RECRD_JULY_29%20_2010.pdf</w:t>
      </w:r>
    </w:p>
  </w:endnote>
  <w:endnote w:id="39">
    <w:p w:rsidR="003450AF" w:rsidRDefault="003450AF">
      <w:pPr>
        <w:pStyle w:val="EndnoteText"/>
      </w:pPr>
      <w:r>
        <w:rPr>
          <w:rStyle w:val="EndnoteReference"/>
        </w:rPr>
        <w:endnoteRef/>
      </w:r>
      <w:r>
        <w:t xml:space="preserve"> </w:t>
      </w:r>
      <w:r>
        <w:rPr>
          <w:i/>
          <w:iCs/>
        </w:rPr>
        <w:t>See</w:t>
      </w:r>
      <w:r>
        <w:t xml:space="preserve"> Texas Water Development Board, Record of wells by county, Edwards, available at</w:t>
      </w:r>
    </w:p>
    <w:p w:rsidR="003450AF" w:rsidRDefault="003450AF">
      <w:pPr>
        <w:pStyle w:val="EndnoteText"/>
        <w:rPr>
          <w:rStyle w:val="Hyperlink"/>
        </w:rPr>
      </w:pPr>
      <w:hyperlink r:id="rId12" w:history="1">
        <w:proofErr w:type="gramStart"/>
        <w:r>
          <w:rPr>
            <w:rStyle w:val="Hyperlink"/>
            <w:color w:val="auto"/>
            <w:szCs w:val="24"/>
          </w:rPr>
          <w:t xml:space="preserve">http://www.twdb.state.tx.us/publications/reports/GroundwaterReports/GWDatabaseReports/Database Reports/Edwards/Record of </w:t>
        </w:r>
        <w:proofErr w:type="spellStart"/>
        <w:r>
          <w:rPr>
            <w:rStyle w:val="Hyperlink"/>
            <w:color w:val="auto"/>
            <w:szCs w:val="24"/>
          </w:rPr>
          <w:t>Wells.pdf</w:t>
        </w:r>
        <w:proofErr w:type="spellEnd"/>
      </w:hyperlink>
      <w:r>
        <w:rPr>
          <w:rStyle w:val="Hyperlink"/>
          <w:color w:val="auto"/>
        </w:rPr>
        <w:t>.</w:t>
      </w:r>
      <w:proofErr w:type="gramEnd"/>
    </w:p>
  </w:endnote>
  <w:endnote w:id="40">
    <w:p w:rsidR="003450AF" w:rsidRDefault="003450AF">
      <w:pPr>
        <w:pStyle w:val="EndnoteText"/>
      </w:pPr>
      <w:r>
        <w:rPr>
          <w:rStyle w:val="EndnoteReference"/>
        </w:rPr>
        <w:endnoteRef/>
      </w:r>
      <w:r>
        <w:t xml:space="preserve"> Lee Sweeten, written communication, August 18, 2008.</w:t>
      </w:r>
    </w:p>
  </w:endnote>
  <w:endnote w:id="41">
    <w:p w:rsidR="003450AF" w:rsidRDefault="003450AF">
      <w:pPr>
        <w:pStyle w:val="EndnoteText"/>
      </w:pPr>
      <w:r>
        <w:rPr>
          <w:rStyle w:val="EndnoteReference"/>
        </w:rPr>
        <w:endnoteRef/>
      </w:r>
      <w:r>
        <w:t xml:space="preserve"> </w:t>
      </w:r>
      <w:r>
        <w:rPr>
          <w:i/>
        </w:rPr>
        <w:t>See</w:t>
      </w:r>
      <w:r>
        <w:t xml:space="preserve"> “Desired future conditions for Real Edwards conservation and reclamation district”</w:t>
      </w:r>
    </w:p>
  </w:endnote>
  <w:endnote w:id="42">
    <w:p w:rsidR="003450AF" w:rsidRDefault="003450AF">
      <w:pPr>
        <w:pStyle w:val="EndnoteText"/>
      </w:pPr>
      <w:r>
        <w:rPr>
          <w:rStyle w:val="EndnoteReference"/>
        </w:rPr>
        <w:endnoteRef/>
      </w:r>
      <w:r>
        <w:t xml:space="preserve"> </w:t>
      </w:r>
      <w:r>
        <w:rPr>
          <w:i/>
          <w:iCs/>
        </w:rPr>
        <w:t xml:space="preserve">See </w:t>
      </w:r>
      <w:r>
        <w:t>U.S. Geological Survey, National Water Information System (</w:t>
      </w:r>
      <w:proofErr w:type="spellStart"/>
      <w:r>
        <w:t>NWISWeb</w:t>
      </w:r>
      <w:proofErr w:type="spellEnd"/>
      <w:r>
        <w:t xml:space="preserve">) data, accessed January 14, 2008. Available at </w:t>
      </w:r>
      <w:hyperlink r:id="rId13" w:history="1">
        <w:r>
          <w:rPr>
            <w:rStyle w:val="Hyperlink"/>
            <w:color w:val="auto"/>
            <w:szCs w:val="24"/>
          </w:rPr>
          <w:t>http://waterdata.usgs.gov/nwis/dv/?site_no=08151500&amp;amp;referred_module=sw.</w:t>
        </w:r>
      </w:hyperlink>
    </w:p>
  </w:endnote>
  <w:endnote w:id="43">
    <w:p w:rsidR="003450AF" w:rsidRDefault="003450AF">
      <w:pPr>
        <w:pStyle w:val="EndnoteText"/>
      </w:pPr>
      <w:r>
        <w:rPr>
          <w:rStyle w:val="EndnoteReference"/>
        </w:rPr>
        <w:endnoteRef/>
      </w:r>
      <w:r>
        <w:rPr>
          <w:i/>
          <w:iCs/>
        </w:rPr>
        <w:t>See</w:t>
      </w:r>
      <w:r>
        <w:t xml:space="preserve"> Lower Colorado River Authority, Water Quality Site Index, accessed February 6, 2012, available at </w:t>
      </w:r>
      <w:hyperlink r:id="rId14" w:history="1">
        <w:r>
          <w:rPr>
            <w:rStyle w:val="Hyperlink"/>
            <w:color w:val="auto"/>
            <w:szCs w:val="24"/>
          </w:rPr>
          <w:t>http://waterquality.lcra.org/sitelist.asp</w:t>
        </w:r>
      </w:hyperlink>
      <w:r>
        <w:rPr>
          <w:rStyle w:val="Hyperlink"/>
          <w:color w:val="auto"/>
        </w:rPr>
        <w:t>.</w:t>
      </w:r>
    </w:p>
  </w:endnote>
  <w:endnote w:id="44">
    <w:p w:rsidR="003450AF" w:rsidRDefault="003450AF">
      <w:pPr>
        <w:pStyle w:val="EndnoteText"/>
      </w:pPr>
      <w:r>
        <w:rPr>
          <w:rStyle w:val="EndnoteReference"/>
        </w:rPr>
        <w:endnoteRef/>
      </w:r>
      <w:r>
        <w:t xml:space="preserve"> Texas Stream Team, River Systems Institute, Texas State University – San Marcos, “Llano river date report, January 2011”, available at: </w:t>
      </w:r>
      <w:r w:rsidRPr="00CF5CA5">
        <w:t>http://southllano.org/blog/wp-content/files/Llano%20River%20Data%20Report-3.pdf</w:t>
      </w:r>
    </w:p>
  </w:endnote>
  <w:endnote w:id="45">
    <w:p w:rsidR="003450AF" w:rsidRDefault="003450AF">
      <w:pPr>
        <w:pStyle w:val="EndnoteText"/>
      </w:pPr>
      <w:r>
        <w:rPr>
          <w:rStyle w:val="EndnoteReference"/>
        </w:rPr>
        <w:endnoteRef/>
      </w:r>
      <w:r>
        <w:t xml:space="preserve"> </w:t>
      </w:r>
      <w:r>
        <w:rPr>
          <w:i/>
          <w:iCs/>
        </w:rPr>
        <w:t>See</w:t>
      </w:r>
      <w:r>
        <w:t xml:space="preserve"> Lower Colorado River Authority, Water Quality Site Index, accessed February 6, 2012, available at </w:t>
      </w:r>
      <w:hyperlink r:id="rId15" w:history="1">
        <w:r>
          <w:rPr>
            <w:rStyle w:val="Hyperlink"/>
            <w:color w:val="auto"/>
            <w:szCs w:val="24"/>
          </w:rPr>
          <w:t>http://waterquality.lcra.org/sitelist.asp</w:t>
        </w:r>
      </w:hyperlink>
      <w:r>
        <w:rPr>
          <w:rStyle w:val="Hyperlink"/>
          <w:color w:val="auto"/>
        </w:rPr>
        <w:t>.</w:t>
      </w:r>
    </w:p>
  </w:endnote>
  <w:endnote w:id="46">
    <w:p w:rsidR="003450AF" w:rsidRDefault="003450AF">
      <w:pPr>
        <w:pStyle w:val="EndnoteText"/>
      </w:pPr>
      <w:r>
        <w:rPr>
          <w:rStyle w:val="EndnoteReference"/>
        </w:rPr>
        <w:endnoteRef/>
      </w:r>
      <w:r>
        <w:t xml:space="preserve"> Texas Commission on Environmental Quality, 2005, </w:t>
      </w:r>
      <w:r>
        <w:rPr>
          <w:i/>
          <w:iCs/>
        </w:rPr>
        <w:t>A guide to freshwater ecology</w:t>
      </w:r>
      <w:r>
        <w:t xml:space="preserve">, GI-034, revised 8/05, available at </w:t>
      </w:r>
      <w:hyperlink r:id="rId16" w:history="1">
        <w:r>
          <w:rPr>
            <w:rStyle w:val="Hyperlink"/>
            <w:color w:val="auto"/>
            <w:szCs w:val="24"/>
          </w:rPr>
          <w:t>http://www.tceq.state.tx.us/comm_exec/forms_pubs/pubs/gi/gi-034.html</w:t>
        </w:r>
      </w:hyperlink>
      <w:r>
        <w:rPr>
          <w:rStyle w:val="Hyperlink"/>
          <w:color w:val="auto"/>
        </w:rPr>
        <w:t>.</w:t>
      </w:r>
    </w:p>
  </w:endnote>
  <w:endnote w:id="47">
    <w:p w:rsidR="003450AF" w:rsidRDefault="003450AF">
      <w:pPr>
        <w:pStyle w:val="EndnoteText"/>
      </w:pPr>
      <w:r>
        <w:rPr>
          <w:rStyle w:val="EndnoteReference"/>
        </w:rPr>
        <w:endnoteRef/>
      </w:r>
      <w:r>
        <w:rPr>
          <w:i/>
          <w:iCs/>
        </w:rPr>
        <w:t xml:space="preserve"> See</w:t>
      </w:r>
      <w:r>
        <w:t xml:space="preserve"> Lower Colorado River Authority, Water Quality Site Index.</w:t>
      </w:r>
    </w:p>
  </w:endnote>
  <w:endnote w:id="48">
    <w:p w:rsidR="003450AF" w:rsidRDefault="003450AF" w:rsidP="00822ED6">
      <w:pPr>
        <w:pStyle w:val="EndnoteText"/>
      </w:pPr>
      <w:r>
        <w:rPr>
          <w:rStyle w:val="EndnoteReference"/>
        </w:rPr>
        <w:endnoteRef/>
      </w:r>
      <w:r>
        <w:t xml:space="preserve"> </w:t>
      </w:r>
      <w:r>
        <w:rPr>
          <w:i/>
          <w:iCs/>
        </w:rPr>
        <w:t xml:space="preserve">See </w:t>
      </w:r>
      <w:r>
        <w:t>Daniel B. Stevens and Associates, Inc, “</w:t>
      </w:r>
      <w:proofErr w:type="spellStart"/>
      <w:r>
        <w:t>Geodatabase</w:t>
      </w:r>
      <w:proofErr w:type="spellEnd"/>
      <w:r>
        <w:t xml:space="preserve"> Deliverable for Kimble County”, April 29, 2009, Table 4.</w:t>
      </w:r>
    </w:p>
    <w:p w:rsidR="003450AF" w:rsidRDefault="003450AF">
      <w:pPr>
        <w:pStyle w:val="EndnoteText"/>
      </w:pPr>
      <w:proofErr w:type="spellStart"/>
      <w:proofErr w:type="gramStart"/>
      <w:r>
        <w:t>exas</w:t>
      </w:r>
      <w:proofErr w:type="spellEnd"/>
      <w:proofErr w:type="gramEnd"/>
      <w:r>
        <w:t xml:space="preserve"> Water Development Board, Ground Water Data System, accessed August 2, 2008, available at </w:t>
      </w:r>
      <w:hyperlink r:id="rId17" w:history="1">
        <w:r>
          <w:rPr>
            <w:rStyle w:val="Hyperlink"/>
            <w:color w:val="auto"/>
            <w:szCs w:val="24"/>
          </w:rPr>
          <w:t>http://www.twdb.state.tx.us/publications/reports/GroundwaterReports/GWDatabaseReports/Gwdata</w:t>
        </w:r>
      </w:hyperlink>
      <w:r>
        <w:rPr>
          <w:rStyle w:val="Hyperlink"/>
          <w:color w:val="auto"/>
        </w:rPr>
        <w:t>.</w:t>
      </w:r>
    </w:p>
  </w:endnote>
  <w:endnote w:id="49">
    <w:p w:rsidR="003450AF" w:rsidRDefault="003450AF">
      <w:pPr>
        <w:pStyle w:val="EndnoteText"/>
      </w:pPr>
      <w:r>
        <w:rPr>
          <w:rStyle w:val="EndnoteReference"/>
        </w:rPr>
        <w:endnoteRef/>
      </w:r>
      <w:r>
        <w:t xml:space="preserve"> Preston T. Bean, Department of Biology, Texas State University, written communication, February 13, 2012.</w:t>
      </w:r>
    </w:p>
  </w:endnote>
  <w:endnote w:id="50">
    <w:p w:rsidR="003450AF" w:rsidRDefault="003450AF">
      <w:pPr>
        <w:pStyle w:val="EndnoteText"/>
      </w:pPr>
      <w:r>
        <w:rPr>
          <w:rStyle w:val="EndnoteReference"/>
        </w:rPr>
        <w:endnoteRef/>
      </w:r>
      <w:r>
        <w:t xml:space="preserve"> </w:t>
      </w:r>
      <w:proofErr w:type="spellStart"/>
      <w:proofErr w:type="gramStart"/>
      <w:r>
        <w:t>Dijar</w:t>
      </w:r>
      <w:proofErr w:type="spellEnd"/>
      <w:r>
        <w:t xml:space="preserve"> J Lutz-</w:t>
      </w:r>
      <w:proofErr w:type="spellStart"/>
      <w:r>
        <w:t>Carillo</w:t>
      </w:r>
      <w:proofErr w:type="spellEnd"/>
      <w:r>
        <w:t>, Geneticist, Texas Parks and Wildlife Department, written communication, February 14, 2012.</w:t>
      </w:r>
      <w:proofErr w:type="gramEnd"/>
    </w:p>
  </w:endnote>
  <w:endnote w:id="51">
    <w:p w:rsidR="003450AF" w:rsidRPr="00715DF9" w:rsidRDefault="003450AF">
      <w:pPr>
        <w:pStyle w:val="EndnoteText"/>
      </w:pPr>
      <w:r>
        <w:rPr>
          <w:rStyle w:val="EndnoteReference"/>
        </w:rPr>
        <w:endnoteRef/>
      </w:r>
      <w:r>
        <w:t xml:space="preserve"> Gary Garrett, “Guadalupe bass restoration initiative coordinates watershed-scale conservation: Projects underway in Llano watershed”, in </w:t>
      </w:r>
      <w:r w:rsidRPr="00715DF9">
        <w:rPr>
          <w:i/>
        </w:rPr>
        <w:t>Texas Watersheds</w:t>
      </w:r>
      <w:r>
        <w:t>, Fall 2011.</w:t>
      </w:r>
    </w:p>
  </w:endnote>
  <w:endnote w:id="52">
    <w:p w:rsidR="003450AF" w:rsidRDefault="003450AF">
      <w:pPr>
        <w:pStyle w:val="EndnoteText"/>
      </w:pPr>
      <w:r>
        <w:rPr>
          <w:rStyle w:val="EndnoteReference"/>
        </w:rPr>
        <w:endnoteRef/>
      </w:r>
      <w:r>
        <w:t xml:space="preserve"> Robert J. Edwards, Gary P. Garrett, and Nathan L. Allen, “Aquifer-dependent fishes of the Edwards Plateau region”, </w:t>
      </w:r>
      <w:r>
        <w:rPr>
          <w:i/>
          <w:iCs/>
        </w:rPr>
        <w:t>in Aquifers of the Edwards Plateau</w:t>
      </w:r>
      <w:r>
        <w:t>, Texas Water Development Board Report 360, 2004.</w:t>
      </w:r>
    </w:p>
  </w:endnote>
  <w:endnote w:id="53">
    <w:p w:rsidR="003450AF" w:rsidRDefault="003450AF">
      <w:pPr>
        <w:pStyle w:val="EndnoteText"/>
      </w:pPr>
      <w:r>
        <w:rPr>
          <w:rStyle w:val="EndnoteReference"/>
        </w:rPr>
        <w:endnoteRef/>
      </w:r>
      <w:r>
        <w:t xml:space="preserve"> Stephen Curtis, Department of Biology, Texas State University, written communication, January 13, 2012.</w:t>
      </w:r>
    </w:p>
  </w:endnote>
  <w:endnote w:id="54">
    <w:p w:rsidR="003450AF" w:rsidRDefault="003450AF">
      <w:pPr>
        <w:pStyle w:val="EndnoteText"/>
      </w:pPr>
      <w:r>
        <w:rPr>
          <w:rStyle w:val="EndnoteReference"/>
        </w:rPr>
        <w:endnoteRef/>
      </w:r>
      <w:r>
        <w:t xml:space="preserve"> </w:t>
      </w:r>
      <w:proofErr w:type="gramStart"/>
      <w:r>
        <w:t>Robert G. Howells, Raymond W. Neck, Harold D. Murray, “Freshwater mussels of Texas”, Austin, Texas, University of Texas Press, 1996.</w:t>
      </w:r>
      <w:proofErr w:type="gramEnd"/>
    </w:p>
  </w:endnote>
  <w:endnote w:id="55">
    <w:p w:rsidR="003450AF" w:rsidRDefault="003450AF" w:rsidP="00BD62D7">
      <w:pPr>
        <w:pStyle w:val="EndnoteText"/>
      </w:pPr>
      <w:r>
        <w:rPr>
          <w:rStyle w:val="EndnoteReference"/>
        </w:rPr>
        <w:endnoteRef/>
      </w:r>
      <w:r>
        <w:t xml:space="preserve"> Dr. Tom </w:t>
      </w:r>
      <w:proofErr w:type="spellStart"/>
      <w:r>
        <w:t>Arsuffi</w:t>
      </w:r>
      <w:proofErr w:type="spellEnd"/>
      <w:r>
        <w:t>, Aquatic Ecologist and Director, Field Research Station, Texas Tech University Llano River Field Station, personal communication, April 19, 2008.</w:t>
      </w:r>
    </w:p>
  </w:endnote>
  <w:endnote w:id="56">
    <w:p w:rsidR="003450AF" w:rsidRDefault="003450AF" w:rsidP="004B7FDC">
      <w:pPr>
        <w:pStyle w:val="EndnoteText"/>
        <w:rPr>
          <w:rStyle w:val="Hyperlink"/>
          <w:sz w:val="24"/>
          <w:szCs w:val="24"/>
        </w:rPr>
      </w:pPr>
      <w:r>
        <w:rPr>
          <w:rStyle w:val="EndnoteReference"/>
        </w:rPr>
        <w:endnoteRef/>
      </w:r>
      <w:r>
        <w:t xml:space="preserve"> The Nature Conservancy, A biodiversity and conservation assessment of the Edwards Plateau </w:t>
      </w:r>
      <w:proofErr w:type="spellStart"/>
      <w:r>
        <w:t>Ecoregion</w:t>
      </w:r>
      <w:proofErr w:type="spellEnd"/>
      <w:r>
        <w:t xml:space="preserve">, Edwards Plateau </w:t>
      </w:r>
      <w:proofErr w:type="spellStart"/>
      <w:r>
        <w:t>Ecoregional</w:t>
      </w:r>
      <w:proofErr w:type="spellEnd"/>
      <w:r>
        <w:t xml:space="preserve"> Planning Team, The Nature Conservancy, San Antonio, Texas, 2004, available at </w:t>
      </w:r>
      <w:hyperlink r:id="rId18" w:history="1">
        <w:r>
          <w:rPr>
            <w:rStyle w:val="Hyperlink"/>
            <w:color w:val="auto"/>
            <w:szCs w:val="24"/>
          </w:rPr>
          <w:t>http://www.nature.org/wherewework/northamerica/states/texas/files/edwardsplateauexecsum.pdf</w:t>
        </w:r>
      </w:hyperlink>
      <w:r>
        <w:rPr>
          <w:rStyle w:val="Hyperlink"/>
          <w:color w:val="auto"/>
        </w:rPr>
        <w:t>.</w:t>
      </w:r>
    </w:p>
  </w:endnote>
  <w:endnote w:id="57">
    <w:p w:rsidR="003450AF" w:rsidRDefault="003450AF" w:rsidP="004B7FDC">
      <w:pPr>
        <w:pStyle w:val="EndnoteText"/>
      </w:pPr>
      <w:r>
        <w:rPr>
          <w:rStyle w:val="EndnoteReference"/>
        </w:rPr>
        <w:endnoteRef/>
      </w:r>
      <w:r>
        <w:t xml:space="preserve"> Howard Crum and Lewis E. Anderson, </w:t>
      </w:r>
      <w:proofErr w:type="spellStart"/>
      <w:r>
        <w:t>Donrichardsia</w:t>
      </w:r>
      <w:proofErr w:type="spellEnd"/>
      <w:r>
        <w:t xml:space="preserve">, a new genus of </w:t>
      </w:r>
      <w:proofErr w:type="spellStart"/>
      <w:r>
        <w:t>Amblystegiaceae</w:t>
      </w:r>
      <w:proofErr w:type="spellEnd"/>
      <w:r>
        <w:t xml:space="preserve"> (</w:t>
      </w:r>
      <w:proofErr w:type="spellStart"/>
      <w:r>
        <w:t>Musci</w:t>
      </w:r>
      <w:proofErr w:type="spellEnd"/>
      <w:r>
        <w:t xml:space="preserve">) in </w:t>
      </w:r>
      <w:proofErr w:type="spellStart"/>
      <w:r>
        <w:rPr>
          <w:i/>
          <w:iCs/>
        </w:rPr>
        <w:t>Fieldiana</w:t>
      </w:r>
      <w:proofErr w:type="spellEnd"/>
      <w:r>
        <w:rPr>
          <w:i/>
          <w:iCs/>
        </w:rPr>
        <w:t xml:space="preserve"> Botany</w:t>
      </w:r>
      <w:r>
        <w:t>, New Series, v 1., 1979.</w:t>
      </w:r>
    </w:p>
  </w:endnote>
  <w:endnote w:id="58">
    <w:p w:rsidR="003450AF" w:rsidRDefault="003450AF" w:rsidP="001F2FD0">
      <w:pPr>
        <w:pStyle w:val="EndnoteText"/>
        <w:rPr>
          <w:rStyle w:val="Hyperlink"/>
          <w:sz w:val="24"/>
          <w:szCs w:val="24"/>
        </w:rPr>
      </w:pPr>
      <w:r>
        <w:rPr>
          <w:rStyle w:val="EndnoteReference"/>
        </w:rPr>
        <w:endnoteRef/>
      </w:r>
      <w:r>
        <w:t xml:space="preserve"> Rickey L. Jones, “Ecological dynamics of native bottomland pecan communities in the Edwards Plateau of Texas”, Master’s Thesis, Texas State University, Department of Biology, 2008, available at </w:t>
      </w:r>
      <w:hyperlink r:id="rId19" w:history="1">
        <w:r>
          <w:rPr>
            <w:rStyle w:val="Hyperlink"/>
            <w:color w:val="auto"/>
            <w:szCs w:val="24"/>
          </w:rPr>
          <w:t>http://ecommons.txstate.edu/cgi/viewcontent.cgi?article=1004&amp;context=bioltad</w:t>
        </w:r>
      </w:hyperlink>
      <w:r>
        <w:rPr>
          <w:rStyle w:val="Hyperlink"/>
          <w:color w:val="auto"/>
        </w:rPr>
        <w:t>.</w:t>
      </w:r>
    </w:p>
  </w:endnote>
  <w:endnote w:id="59">
    <w:p w:rsidR="003450AF" w:rsidRPr="0090663E" w:rsidRDefault="003450AF" w:rsidP="00362C1B">
      <w:pPr>
        <w:pStyle w:val="EDF-Footnote"/>
        <w:rPr>
          <w:rFonts w:ascii="Times New Roman" w:hAnsi="Times New Roman"/>
          <w:sz w:val="20"/>
        </w:rPr>
      </w:pPr>
      <w:r>
        <w:rPr>
          <w:rStyle w:val="EndnoteReference"/>
        </w:rPr>
        <w:endnoteRef/>
      </w:r>
      <w:r>
        <w:t xml:space="preserve"> </w:t>
      </w:r>
      <w:r w:rsidRPr="00AE43A5">
        <w:rPr>
          <w:rFonts w:ascii="Times New Roman" w:hAnsi="Times New Roman"/>
          <w:sz w:val="20"/>
        </w:rPr>
        <w:t xml:space="preserve">Bradford P. Wilcox, </w:t>
      </w:r>
      <w:proofErr w:type="spellStart"/>
      <w:r w:rsidRPr="00AE43A5">
        <w:rPr>
          <w:rFonts w:ascii="Times New Roman" w:hAnsi="Times New Roman"/>
          <w:sz w:val="20"/>
        </w:rPr>
        <w:t>Yun</w:t>
      </w:r>
      <w:proofErr w:type="spellEnd"/>
      <w:r w:rsidRPr="00AE43A5">
        <w:rPr>
          <w:rFonts w:ascii="Times New Roman" w:hAnsi="Times New Roman"/>
          <w:sz w:val="20"/>
        </w:rPr>
        <w:t xml:space="preserve"> Huang, and John W. Walker, “Long-term trends in </w:t>
      </w:r>
      <w:proofErr w:type="spellStart"/>
      <w:r w:rsidRPr="00AE43A5">
        <w:rPr>
          <w:rFonts w:ascii="Times New Roman" w:hAnsi="Times New Roman"/>
          <w:sz w:val="20"/>
        </w:rPr>
        <w:t>streamflow</w:t>
      </w:r>
      <w:proofErr w:type="spellEnd"/>
      <w:r w:rsidRPr="00AE43A5">
        <w:rPr>
          <w:rFonts w:ascii="Times New Roman" w:hAnsi="Times New Roman"/>
          <w:sz w:val="20"/>
        </w:rPr>
        <w:t xml:space="preserve"> from semiarid rangelands: uncovering drivers of change”, in </w:t>
      </w:r>
      <w:r w:rsidRPr="00AE43A5">
        <w:rPr>
          <w:rFonts w:ascii="Times New Roman" w:hAnsi="Times New Roman"/>
          <w:i/>
          <w:iCs/>
          <w:sz w:val="20"/>
        </w:rPr>
        <w:t>Global Change Biology</w:t>
      </w:r>
      <w:r>
        <w:rPr>
          <w:rFonts w:ascii="Times New Roman" w:hAnsi="Times New Roman"/>
          <w:sz w:val="20"/>
        </w:rPr>
        <w:t>, (2008) 14, 1676-1679.</w:t>
      </w:r>
    </w:p>
  </w:endnote>
  <w:endnote w:id="60">
    <w:p w:rsidR="003450AF" w:rsidRPr="00AE43A5" w:rsidRDefault="003450AF" w:rsidP="00362C1B">
      <w:pPr>
        <w:pStyle w:val="EndnoteText"/>
      </w:pPr>
      <w:r w:rsidRPr="00AE43A5">
        <w:rPr>
          <w:rStyle w:val="EndnoteReference"/>
        </w:rPr>
        <w:endnoteRef/>
      </w:r>
      <w:r w:rsidRPr="00AE43A5">
        <w:t xml:space="preserve"> </w:t>
      </w:r>
      <w:proofErr w:type="gramStart"/>
      <w:r w:rsidRPr="00AE43A5">
        <w:t>The Nature Conservancy of Texas</w:t>
      </w:r>
      <w:r>
        <w:t>.</w:t>
      </w:r>
      <w:proofErr w:type="gramEnd"/>
    </w:p>
  </w:endnote>
  <w:endnote w:id="61">
    <w:p w:rsidR="003450AF" w:rsidRPr="00AE43A5" w:rsidRDefault="003450AF" w:rsidP="00362C1B">
      <w:pPr>
        <w:pStyle w:val="EDF-Footnote"/>
        <w:rPr>
          <w:rFonts w:ascii="Times New Roman" w:hAnsi="Times New Roman"/>
          <w:sz w:val="20"/>
        </w:rPr>
      </w:pPr>
      <w:r w:rsidRPr="00AE43A5">
        <w:rPr>
          <w:rStyle w:val="EndnoteReference"/>
          <w:rFonts w:ascii="Times New Roman" w:hAnsi="Times New Roman"/>
          <w:sz w:val="20"/>
        </w:rPr>
        <w:endnoteRef/>
      </w:r>
      <w:r w:rsidRPr="00AE43A5">
        <w:rPr>
          <w:rFonts w:ascii="Times New Roman" w:hAnsi="Times New Roman"/>
          <w:sz w:val="20"/>
        </w:rPr>
        <w:t xml:space="preserve"> Bradford P. Wilcox, M. Keith Owens, William A. </w:t>
      </w:r>
      <w:proofErr w:type="spellStart"/>
      <w:r w:rsidRPr="00AE43A5">
        <w:rPr>
          <w:rFonts w:ascii="Times New Roman" w:hAnsi="Times New Roman"/>
          <w:sz w:val="20"/>
        </w:rPr>
        <w:t>Dugas</w:t>
      </w:r>
      <w:proofErr w:type="spellEnd"/>
      <w:r w:rsidRPr="00AE43A5">
        <w:rPr>
          <w:rFonts w:ascii="Times New Roman" w:hAnsi="Times New Roman"/>
          <w:sz w:val="20"/>
        </w:rPr>
        <w:t xml:space="preserve">, Darrell N. </w:t>
      </w:r>
      <w:proofErr w:type="spellStart"/>
      <w:r w:rsidRPr="00AE43A5">
        <w:rPr>
          <w:rFonts w:ascii="Times New Roman" w:hAnsi="Times New Roman"/>
          <w:sz w:val="20"/>
        </w:rPr>
        <w:t>Ueckert</w:t>
      </w:r>
      <w:proofErr w:type="spellEnd"/>
      <w:r w:rsidRPr="00AE43A5">
        <w:rPr>
          <w:rFonts w:ascii="Times New Roman" w:hAnsi="Times New Roman"/>
          <w:sz w:val="20"/>
        </w:rPr>
        <w:t xml:space="preserve"> and Charles R Hart, “Shrubs, </w:t>
      </w:r>
      <w:proofErr w:type="spellStart"/>
      <w:r w:rsidRPr="00AE43A5">
        <w:rPr>
          <w:rFonts w:ascii="Times New Roman" w:hAnsi="Times New Roman"/>
          <w:sz w:val="20"/>
        </w:rPr>
        <w:t>streamflow</w:t>
      </w:r>
      <w:proofErr w:type="spellEnd"/>
      <w:r w:rsidRPr="00AE43A5">
        <w:rPr>
          <w:rFonts w:ascii="Times New Roman" w:hAnsi="Times New Roman"/>
          <w:sz w:val="20"/>
        </w:rPr>
        <w:t>, and the paradox of scale”, in</w:t>
      </w:r>
      <w:r w:rsidRPr="00AE43A5">
        <w:rPr>
          <w:rFonts w:ascii="Times New Roman" w:hAnsi="Times New Roman"/>
          <w:i/>
          <w:iCs/>
          <w:sz w:val="20"/>
        </w:rPr>
        <w:t xml:space="preserve"> Hydrological Processes</w:t>
      </w:r>
      <w:r w:rsidRPr="00AE43A5">
        <w:rPr>
          <w:rFonts w:ascii="Times New Roman" w:hAnsi="Times New Roman"/>
          <w:sz w:val="20"/>
        </w:rPr>
        <w:t xml:space="preserve">, 3245-3259, 2006, available at </w:t>
      </w:r>
      <w:hyperlink r:id="rId20" w:history="1">
        <w:r w:rsidRPr="00AE43A5">
          <w:rPr>
            <w:rStyle w:val="Hyperlink"/>
            <w:rFonts w:ascii="Times New Roman" w:hAnsi="Times New Roman"/>
            <w:sz w:val="20"/>
            <w:szCs w:val="24"/>
          </w:rPr>
          <w:t>http://rangeland.tamu.edu/people/wilcox/Publications/003.pdf</w:t>
        </w:r>
      </w:hyperlink>
      <w:r>
        <w:rPr>
          <w:rStyle w:val="Hyperlink"/>
          <w:rFonts w:ascii="Times New Roman" w:hAnsi="Times New Roman"/>
          <w:sz w:val="20"/>
        </w:rPr>
        <w:t>.</w:t>
      </w:r>
    </w:p>
  </w:endnote>
  <w:endnote w:id="62">
    <w:p w:rsidR="003450AF" w:rsidRPr="00AE43A5" w:rsidRDefault="003450AF" w:rsidP="00362C1B">
      <w:pPr>
        <w:pStyle w:val="EDF-Footnote"/>
        <w:rPr>
          <w:rFonts w:ascii="Times New Roman" w:hAnsi="Times New Roman"/>
          <w:sz w:val="20"/>
        </w:rPr>
      </w:pPr>
      <w:r w:rsidRPr="00AE43A5">
        <w:rPr>
          <w:rStyle w:val="EndnoteReference"/>
          <w:rFonts w:ascii="Times New Roman" w:hAnsi="Times New Roman"/>
          <w:sz w:val="20"/>
        </w:rPr>
        <w:endnoteRef/>
      </w:r>
      <w:r w:rsidRPr="00AE43A5">
        <w:rPr>
          <w:rFonts w:ascii="Times New Roman" w:hAnsi="Times New Roman"/>
          <w:sz w:val="20"/>
        </w:rPr>
        <w:t xml:space="preserve">  </w:t>
      </w:r>
      <w:r w:rsidRPr="0090663E">
        <w:rPr>
          <w:rFonts w:ascii="Times New Roman" w:hAnsi="Times New Roman"/>
          <w:i/>
          <w:sz w:val="20"/>
        </w:rPr>
        <w:t>See</w:t>
      </w:r>
      <w:r>
        <w:rPr>
          <w:rFonts w:ascii="Times New Roman" w:hAnsi="Times New Roman"/>
          <w:sz w:val="20"/>
        </w:rPr>
        <w:t xml:space="preserve"> Wilcox, Huang, and Walker.</w:t>
      </w:r>
    </w:p>
  </w:endnote>
  <w:endnote w:id="63">
    <w:p w:rsidR="003450AF" w:rsidRDefault="003450AF" w:rsidP="00362C1B">
      <w:pPr>
        <w:pStyle w:val="EndnoteText"/>
      </w:pPr>
      <w:r>
        <w:rPr>
          <w:rStyle w:val="EndnoteReference"/>
        </w:rPr>
        <w:endnoteRef/>
      </w:r>
      <w:r>
        <w:t xml:space="preserve"> David Wolfe, Director, Conservation Science, Environmental Defense Fund, written communication, July 27, 2011.</w:t>
      </w:r>
    </w:p>
  </w:endnote>
  <w:endnote w:id="64">
    <w:p w:rsidR="003450AF" w:rsidRDefault="003450AF">
      <w:pPr>
        <w:pStyle w:val="EndnoteText"/>
      </w:pPr>
      <w:r>
        <w:rPr>
          <w:rStyle w:val="EndnoteReference"/>
        </w:rPr>
        <w:endnoteRef/>
      </w:r>
      <w:r>
        <w:t xml:space="preserve"> Gunnar </w:t>
      </w:r>
      <w:proofErr w:type="spellStart"/>
      <w:proofErr w:type="gramStart"/>
      <w:r>
        <w:t>Brune</w:t>
      </w:r>
      <w:proofErr w:type="spellEnd"/>
      <w:r>
        <w:t>,</w:t>
      </w:r>
      <w:proofErr w:type="gramEnd"/>
      <w:r>
        <w:t xml:space="preserve"> </w:t>
      </w:r>
      <w:r>
        <w:rPr>
          <w:i/>
          <w:iCs/>
        </w:rPr>
        <w:t>Springs of Texas</w:t>
      </w:r>
      <w:r>
        <w:t>, volume 1, Fort Worth, Tex., Branch-Smith, Inc., 1981.</w:t>
      </w:r>
    </w:p>
  </w:endnote>
  <w:endnote w:id="65">
    <w:p w:rsidR="003450AF" w:rsidRPr="00AE43A5" w:rsidRDefault="003450AF" w:rsidP="00CC1207">
      <w:pPr>
        <w:pStyle w:val="EDF-Footnote"/>
        <w:rPr>
          <w:rFonts w:ascii="Times New Roman" w:hAnsi="Times New Roman"/>
          <w:sz w:val="20"/>
        </w:rPr>
      </w:pPr>
      <w:r w:rsidRPr="00AE43A5">
        <w:rPr>
          <w:rStyle w:val="EndnoteReference"/>
          <w:rFonts w:ascii="Times New Roman" w:hAnsi="Times New Roman"/>
          <w:sz w:val="20"/>
        </w:rPr>
        <w:endnoteRef/>
      </w:r>
      <w:r w:rsidRPr="00AE43A5">
        <w:rPr>
          <w:rFonts w:ascii="Times New Roman" w:hAnsi="Times New Roman"/>
          <w:sz w:val="20"/>
        </w:rPr>
        <w:t xml:space="preserve"> American Farmland Trust, “Going, going, gone. Impacts of land fragmentation on Texas agriculture and wildlife”. </w:t>
      </w:r>
      <w:proofErr w:type="gramStart"/>
      <w:r w:rsidRPr="00AE43A5">
        <w:rPr>
          <w:rFonts w:ascii="Times New Roman" w:hAnsi="Times New Roman"/>
          <w:sz w:val="20"/>
        </w:rPr>
        <w:t xml:space="preserve">A summary study from American Farmland Trust, Texas Regional Office, 2003, available at </w:t>
      </w:r>
      <w:r w:rsidRPr="00AE43A5">
        <w:rPr>
          <w:rFonts w:ascii="Times New Roman" w:hAnsi="Times New Roman"/>
          <w:sz w:val="20"/>
        </w:rPr>
        <w:br/>
      </w:r>
      <w:hyperlink r:id="rId21" w:history="1">
        <w:r w:rsidRPr="00AE43A5">
          <w:rPr>
            <w:rStyle w:val="Hyperlink"/>
            <w:rFonts w:ascii="Times New Roman" w:hAnsi="Times New Roman"/>
            <w:sz w:val="20"/>
            <w:szCs w:val="24"/>
          </w:rPr>
          <w:t>http://www.farmland.org/resources/reports/texas/fragmentation_GoingGoingGone.pdf</w:t>
        </w:r>
      </w:hyperlink>
      <w:r>
        <w:rPr>
          <w:rFonts w:ascii="Times New Roman" w:hAnsi="Times New Roman"/>
          <w:sz w:val="20"/>
        </w:rPr>
        <w:t>.</w:t>
      </w:r>
      <w:proofErr w:type="gramEnd"/>
    </w:p>
  </w:endnote>
  <w:endnote w:id="66">
    <w:p w:rsidR="003450AF" w:rsidRPr="00AE43A5" w:rsidRDefault="003450AF" w:rsidP="00CC1207">
      <w:pPr>
        <w:pStyle w:val="EDF-Footnote"/>
        <w:rPr>
          <w:rFonts w:ascii="Times New Roman" w:hAnsi="Times New Roman"/>
          <w:sz w:val="20"/>
        </w:rPr>
      </w:pPr>
      <w:r w:rsidRPr="00AE43A5">
        <w:rPr>
          <w:rStyle w:val="EndnoteReference"/>
          <w:rFonts w:ascii="Times New Roman" w:hAnsi="Times New Roman"/>
          <w:sz w:val="20"/>
        </w:rPr>
        <w:endnoteRef/>
      </w:r>
      <w:r w:rsidRPr="00AE43A5">
        <w:rPr>
          <w:rFonts w:ascii="Times New Roman" w:hAnsi="Times New Roman"/>
          <w:sz w:val="20"/>
        </w:rPr>
        <w:t xml:space="preserve"> N. Wilkins, A. Hays, D. </w:t>
      </w:r>
      <w:proofErr w:type="spellStart"/>
      <w:r w:rsidRPr="00AE43A5">
        <w:rPr>
          <w:rFonts w:ascii="Times New Roman" w:hAnsi="Times New Roman"/>
          <w:sz w:val="20"/>
        </w:rPr>
        <w:t>Kubenka</w:t>
      </w:r>
      <w:proofErr w:type="spellEnd"/>
      <w:r w:rsidRPr="00AE43A5">
        <w:rPr>
          <w:rFonts w:ascii="Times New Roman" w:hAnsi="Times New Roman"/>
          <w:sz w:val="20"/>
        </w:rPr>
        <w:t xml:space="preserve">, D. Steinbach, W. Grant, E. Gonzalez, M. </w:t>
      </w:r>
      <w:proofErr w:type="spellStart"/>
      <w:r w:rsidRPr="00AE43A5">
        <w:rPr>
          <w:rFonts w:ascii="Times New Roman" w:hAnsi="Times New Roman"/>
          <w:sz w:val="20"/>
        </w:rPr>
        <w:t>Kjelland</w:t>
      </w:r>
      <w:proofErr w:type="spellEnd"/>
      <w:r w:rsidRPr="00AE43A5">
        <w:rPr>
          <w:rFonts w:ascii="Times New Roman" w:hAnsi="Times New Roman"/>
          <w:sz w:val="20"/>
        </w:rPr>
        <w:t xml:space="preserve">, and J. Shackelford, “Texas rural lands: Trends and conservation implications for the 21st Century”. </w:t>
      </w:r>
      <w:proofErr w:type="gramStart"/>
      <w:r w:rsidRPr="00AE43A5">
        <w:rPr>
          <w:rFonts w:ascii="Times New Roman" w:hAnsi="Times New Roman"/>
          <w:sz w:val="20"/>
        </w:rPr>
        <w:t>Publication number B-6134.</w:t>
      </w:r>
      <w:proofErr w:type="gramEnd"/>
      <w:r w:rsidRPr="00AE43A5">
        <w:rPr>
          <w:rFonts w:ascii="Times New Roman" w:hAnsi="Times New Roman"/>
          <w:sz w:val="20"/>
        </w:rPr>
        <w:t xml:space="preserve"> </w:t>
      </w:r>
      <w:proofErr w:type="gramStart"/>
      <w:r w:rsidRPr="00AE43A5">
        <w:rPr>
          <w:rFonts w:ascii="Times New Roman" w:hAnsi="Times New Roman"/>
          <w:sz w:val="20"/>
        </w:rPr>
        <w:t>Texas Cooperative Extension.</w:t>
      </w:r>
      <w:proofErr w:type="gramEnd"/>
      <w:r w:rsidRPr="00AE43A5">
        <w:rPr>
          <w:rFonts w:ascii="Times New Roman" w:hAnsi="Times New Roman"/>
          <w:sz w:val="20"/>
        </w:rPr>
        <w:t xml:space="preserve"> </w:t>
      </w:r>
      <w:proofErr w:type="gramStart"/>
      <w:r w:rsidRPr="00AE43A5">
        <w:rPr>
          <w:rFonts w:ascii="Times New Roman" w:hAnsi="Times New Roman"/>
          <w:sz w:val="20"/>
        </w:rPr>
        <w:t>Texas A&amp;M University System.</w:t>
      </w:r>
      <w:proofErr w:type="gramEnd"/>
      <w:r w:rsidRPr="00AE43A5">
        <w:rPr>
          <w:rFonts w:ascii="Times New Roman" w:hAnsi="Times New Roman"/>
          <w:sz w:val="20"/>
        </w:rPr>
        <w:t xml:space="preserve"> College Station, Texas</w:t>
      </w:r>
      <w:r w:rsidRPr="00AE43A5">
        <w:rPr>
          <w:rFonts w:ascii="Times New Roman" w:hAnsi="Times New Roman" w:cs="Arial"/>
          <w:sz w:val="20"/>
        </w:rPr>
        <w:t xml:space="preserve">, </w:t>
      </w:r>
      <w:r w:rsidRPr="00AE43A5">
        <w:rPr>
          <w:rFonts w:ascii="Times New Roman" w:hAnsi="Times New Roman"/>
          <w:sz w:val="20"/>
        </w:rPr>
        <w:t xml:space="preserve">2003, available at </w:t>
      </w:r>
      <w:hyperlink r:id="rId22" w:history="1">
        <w:r w:rsidRPr="00AE43A5">
          <w:rPr>
            <w:rStyle w:val="Hyperlink"/>
            <w:rFonts w:ascii="Times New Roman" w:hAnsi="Times New Roman"/>
            <w:sz w:val="20"/>
            <w:szCs w:val="24"/>
          </w:rPr>
          <w:t>http://irnr.tamu.edu/pdf/tx_rural_lands.pdf</w:t>
        </w:r>
      </w:hyperlink>
      <w:r>
        <w:rPr>
          <w:rStyle w:val="Hyperlink"/>
          <w:rFonts w:ascii="Times New Roman" w:hAnsi="Times New Roman"/>
          <w:sz w:val="20"/>
        </w:rPr>
        <w:t>.</w:t>
      </w:r>
    </w:p>
  </w:endnote>
  <w:endnote w:id="67">
    <w:p w:rsidR="003450AF" w:rsidRPr="00E17601" w:rsidRDefault="003450AF">
      <w:pPr>
        <w:pStyle w:val="EndnoteText"/>
      </w:pPr>
      <w:r>
        <w:rPr>
          <w:rStyle w:val="EndnoteReference"/>
        </w:rPr>
        <w:endnoteRef/>
      </w:r>
      <w:r>
        <w:t xml:space="preserve"> </w:t>
      </w:r>
      <w:r w:rsidRPr="00E17601">
        <w:rPr>
          <w:rFonts w:cs="Verdana"/>
          <w:color w:val="262626"/>
        </w:rPr>
        <w:t xml:space="preserve">Wilkins, R. Neal, Amy G. </w:t>
      </w:r>
      <w:proofErr w:type="spellStart"/>
      <w:r w:rsidRPr="00E17601">
        <w:rPr>
          <w:rFonts w:cs="Verdana"/>
          <w:color w:val="262626"/>
        </w:rPr>
        <w:t>Snelgrove</w:t>
      </w:r>
      <w:proofErr w:type="spellEnd"/>
      <w:r w:rsidRPr="00E17601">
        <w:rPr>
          <w:rFonts w:cs="Verdana"/>
          <w:color w:val="262626"/>
        </w:rPr>
        <w:t xml:space="preserve">, Blair C. Fitzsimons, Brent M. </w:t>
      </w:r>
      <w:proofErr w:type="spellStart"/>
      <w:r w:rsidRPr="00E17601">
        <w:rPr>
          <w:rFonts w:cs="Verdana"/>
          <w:color w:val="262626"/>
        </w:rPr>
        <w:t>Stevener</w:t>
      </w:r>
      <w:proofErr w:type="spellEnd"/>
      <w:r w:rsidRPr="00E17601">
        <w:rPr>
          <w:rFonts w:cs="Verdana"/>
          <w:color w:val="262626"/>
        </w:rPr>
        <w:t xml:space="preserve">, Kevin L. </w:t>
      </w:r>
      <w:proofErr w:type="spellStart"/>
      <w:r w:rsidRPr="00E17601">
        <w:rPr>
          <w:rFonts w:cs="Verdana"/>
          <w:color w:val="262626"/>
        </w:rPr>
        <w:t>Skow</w:t>
      </w:r>
      <w:proofErr w:type="spellEnd"/>
      <w:r w:rsidRPr="00E17601">
        <w:rPr>
          <w:rFonts w:cs="Verdana"/>
          <w:color w:val="262626"/>
        </w:rPr>
        <w:t xml:space="preserve">, Ross E. Anderson, Amanda M. </w:t>
      </w:r>
      <w:proofErr w:type="spellStart"/>
      <w:r w:rsidRPr="00E17601">
        <w:rPr>
          <w:rFonts w:cs="Verdana"/>
          <w:color w:val="262626"/>
        </w:rPr>
        <w:t>Dube</w:t>
      </w:r>
      <w:proofErr w:type="spellEnd"/>
      <w:r w:rsidRPr="00E17601">
        <w:rPr>
          <w:rFonts w:cs="Verdana"/>
          <w:color w:val="262626"/>
        </w:rPr>
        <w:t>. "Texas Land Trends." Texas A&amp;M Institute of Renewable Natural Resources. 2009. Texas A&amp;M University.</w:t>
      </w:r>
    </w:p>
  </w:endnote>
  <w:endnote w:id="68">
    <w:p w:rsidR="003450AF" w:rsidRDefault="003450AF" w:rsidP="007D173E">
      <w:pPr>
        <w:pStyle w:val="EndnoteText"/>
      </w:pPr>
      <w:r>
        <w:rPr>
          <w:rStyle w:val="EndnoteReference"/>
        </w:rPr>
        <w:endnoteRef/>
      </w:r>
      <w:r>
        <w:t xml:space="preserve"> Annual average flow for the period 2008-2011 was 111 </w:t>
      </w:r>
      <w:proofErr w:type="spellStart"/>
      <w:proofErr w:type="gramStart"/>
      <w:r>
        <w:t>cfs</w:t>
      </w:r>
      <w:proofErr w:type="spellEnd"/>
      <w:r>
        <w:t>,</w:t>
      </w:r>
      <w:proofErr w:type="gramEnd"/>
      <w:r>
        <w:t xml:space="preserve"> also the lowest four year period since 1956, </w:t>
      </w:r>
      <w:r>
        <w:rPr>
          <w:i/>
          <w:iCs/>
        </w:rPr>
        <w:t xml:space="preserve">See </w:t>
      </w:r>
      <w:r>
        <w:t>U.S. Geological Survey, National Water Information System (</w:t>
      </w:r>
      <w:proofErr w:type="spellStart"/>
      <w:r>
        <w:t>NWISWeb</w:t>
      </w:r>
      <w:proofErr w:type="spellEnd"/>
      <w:r>
        <w:t xml:space="preserve">) data, accessed February 1, 2012. Available at </w:t>
      </w:r>
      <w:hyperlink r:id="rId23" w:history="1">
        <w:r>
          <w:rPr>
            <w:rStyle w:val="Hyperlink"/>
            <w:color w:val="auto"/>
            <w:szCs w:val="24"/>
          </w:rPr>
          <w:t>http://waterdata.usgs.gov/nwis/dv/?site_no=08151500&amp;amp;referred_module=sw.</w:t>
        </w:r>
      </w:hyperlink>
    </w:p>
  </w:endnote>
  <w:endnote w:id="69">
    <w:p w:rsidR="003450AF" w:rsidRDefault="003450AF">
      <w:pPr>
        <w:pStyle w:val="EndnoteText"/>
      </w:pPr>
      <w:r>
        <w:rPr>
          <w:rStyle w:val="EndnoteReference"/>
        </w:rPr>
        <w:endnoteRef/>
      </w:r>
      <w:r>
        <w:t xml:space="preserve"> </w:t>
      </w:r>
      <w:proofErr w:type="gramStart"/>
      <w:r>
        <w:t>Texas Water Code, Chapter 36.001.</w:t>
      </w:r>
      <w:proofErr w:type="gramEnd"/>
    </w:p>
  </w:endnote>
  <w:endnote w:id="70">
    <w:p w:rsidR="003450AF" w:rsidRDefault="003450AF">
      <w:pPr>
        <w:pStyle w:val="EndnoteText"/>
      </w:pPr>
      <w:r>
        <w:rPr>
          <w:rStyle w:val="EndnoteReference"/>
        </w:rPr>
        <w:endnoteRef/>
      </w:r>
      <w:r>
        <w:t xml:space="preserve"> The information in this section is obtained from the District Rules for each respective District unless otherwise noted.</w:t>
      </w:r>
    </w:p>
  </w:endnote>
  <w:endnote w:id="71">
    <w:p w:rsidR="003450AF" w:rsidRDefault="003450AF">
      <w:pPr>
        <w:pStyle w:val="EndnoteText"/>
      </w:pPr>
      <w:r>
        <w:rPr>
          <w:rStyle w:val="EndnoteReference"/>
        </w:rPr>
        <w:endnoteRef/>
      </w:r>
      <w:r>
        <w:t xml:space="preserve"> </w:t>
      </w:r>
      <w:proofErr w:type="gramStart"/>
      <w:r>
        <w:t>Texas Water Code § 36.117.</w:t>
      </w:r>
      <w:proofErr w:type="gramEnd"/>
    </w:p>
  </w:endnote>
  <w:endnote w:id="72">
    <w:p w:rsidR="003450AF" w:rsidRDefault="003450AF">
      <w:pPr>
        <w:pStyle w:val="EndnoteText"/>
      </w:pPr>
      <w:r>
        <w:rPr>
          <w:rStyle w:val="EndnoteReference"/>
        </w:rPr>
        <w:endnoteRef/>
      </w:r>
      <w:r>
        <w:t xml:space="preserve"> Jerry Kirby, Manager, Kimble County Groundwater Conservation District, personal communication, February 20, 2012.</w:t>
      </w:r>
    </w:p>
  </w:endnote>
  <w:endnote w:id="73">
    <w:p w:rsidR="003450AF" w:rsidRDefault="003450AF">
      <w:pPr>
        <w:pStyle w:val="EndnoteText"/>
      </w:pPr>
      <w:r>
        <w:rPr>
          <w:rStyle w:val="EndnoteReference"/>
        </w:rPr>
        <w:endnoteRef/>
      </w:r>
      <w:r>
        <w:t xml:space="preserve"> One section is 640 acres or one square mile.</w:t>
      </w:r>
    </w:p>
  </w:endnote>
  <w:endnote w:id="74">
    <w:p w:rsidR="003450AF" w:rsidRDefault="003450AF">
      <w:pPr>
        <w:pStyle w:val="EndnoteText"/>
      </w:pPr>
      <w:r>
        <w:rPr>
          <w:rStyle w:val="EndnoteReference"/>
        </w:rPr>
        <w:endnoteRef/>
      </w:r>
      <w:r>
        <w:t xml:space="preserve"> </w:t>
      </w:r>
      <w:proofErr w:type="gramStart"/>
      <w:r>
        <w:t>Texas Water Code § 36.122(c).</w:t>
      </w:r>
      <w:proofErr w:type="gramEnd"/>
    </w:p>
  </w:endnote>
  <w:endnote w:id="75">
    <w:p w:rsidR="003450AF" w:rsidRPr="00AE43A5" w:rsidRDefault="003450AF" w:rsidP="003D13E8">
      <w:pPr>
        <w:pStyle w:val="EndnoteText"/>
      </w:pPr>
      <w:r w:rsidRPr="00AE43A5">
        <w:rPr>
          <w:rStyle w:val="EndnoteReference"/>
        </w:rPr>
        <w:endnoteRef/>
      </w:r>
      <w:r>
        <w:t xml:space="preserve"> William R. Hutchison, “Draft </w:t>
      </w:r>
      <w:proofErr w:type="spellStart"/>
      <w:r>
        <w:t>gam</w:t>
      </w:r>
      <w:proofErr w:type="spellEnd"/>
      <w:r>
        <w:t xml:space="preserve"> run 09-035 (version 2), Texas Water Development Board, August 7, 2010, </w:t>
      </w:r>
      <w:r w:rsidRPr="00AE43A5">
        <w:t xml:space="preserve">available at </w:t>
      </w:r>
      <w:r w:rsidRPr="004C58F3">
        <w:t>http://www.twdb.state.tx.us/groundwater/docs/GAMruns/GR09-35draft_v2.pdf</w:t>
      </w:r>
    </w:p>
  </w:endnote>
  <w:endnote w:id="76">
    <w:p w:rsidR="003450AF" w:rsidRDefault="003450AF" w:rsidP="008C03AD">
      <w:pPr>
        <w:pStyle w:val="EndnoteText"/>
      </w:pPr>
      <w:r>
        <w:rPr>
          <w:rStyle w:val="EndnoteReference"/>
        </w:rPr>
        <w:endnoteRef/>
      </w:r>
      <w:r>
        <w:t xml:space="preserve"> See “</w:t>
      </w:r>
      <w:r>
        <w:rPr>
          <w:i/>
        </w:rPr>
        <w:t>Investigating the water resources of the Western Edwards-Trinity Aquifer”.</w:t>
      </w:r>
    </w:p>
  </w:endnote>
  <w:endnote w:id="77">
    <w:p w:rsidR="003450AF" w:rsidRDefault="003450AF">
      <w:pPr>
        <w:pStyle w:val="EndnoteText"/>
      </w:pPr>
      <w:r>
        <w:rPr>
          <w:rStyle w:val="EndnoteReference"/>
        </w:rPr>
        <w:endnoteRef/>
      </w:r>
      <w:r>
        <w:t xml:space="preserve"> Region K directs water-planning efforts for the portion of the Llano River below Mason County.</w:t>
      </w:r>
    </w:p>
  </w:endnote>
  <w:endnote w:id="78">
    <w:p w:rsidR="003450AF" w:rsidRDefault="003450AF">
      <w:pPr>
        <w:pStyle w:val="EndnoteText"/>
      </w:pPr>
      <w:r>
        <w:rPr>
          <w:rStyle w:val="EndnoteReference"/>
        </w:rPr>
        <w:endnoteRef/>
      </w:r>
      <w:r>
        <w:t xml:space="preserve"> Frees and Nichols, </w:t>
      </w:r>
      <w:proofErr w:type="spellStart"/>
      <w:r>
        <w:t>Inc.and</w:t>
      </w:r>
      <w:proofErr w:type="spellEnd"/>
      <w:r>
        <w:t xml:space="preserve"> LBG-Guyton Associates, Inc., </w:t>
      </w:r>
      <w:r>
        <w:rPr>
          <w:i/>
          <w:iCs/>
        </w:rPr>
        <w:t>Region F regional water plan-volume 1, main report</w:t>
      </w:r>
      <w:r>
        <w:t xml:space="preserve">, November 2010, available at </w:t>
      </w:r>
      <w:r w:rsidRPr="004A22EF">
        <w:t>http://www.twdb.state.tx.us/wrpi/rwp/3rdRound/2011_RWP/RegionF/PDF's/Volume%20I%20Report.pdf</w:t>
      </w:r>
    </w:p>
  </w:endnote>
  <w:endnote w:id="79">
    <w:p w:rsidR="003450AF" w:rsidRDefault="003450AF">
      <w:pPr>
        <w:pStyle w:val="EndnoteText"/>
      </w:pPr>
      <w:r>
        <w:rPr>
          <w:rStyle w:val="EndnoteReference"/>
        </w:rPr>
        <w:endnoteRef/>
      </w:r>
      <w:r>
        <w:t xml:space="preserve"> Frees and Nichols, Inc., and LBG-Guyton Associates, Inc., </w:t>
      </w:r>
      <w:r>
        <w:rPr>
          <w:i/>
          <w:iCs/>
        </w:rPr>
        <w:t xml:space="preserve">Plateau Regional Water </w:t>
      </w:r>
      <w:proofErr w:type="gramStart"/>
      <w:r>
        <w:rPr>
          <w:i/>
          <w:iCs/>
        </w:rPr>
        <w:t>Plan</w:t>
      </w:r>
      <w:r>
        <w:t xml:space="preserve"> ,January</w:t>
      </w:r>
      <w:proofErr w:type="gramEnd"/>
      <w:r>
        <w:t xml:space="preserve"> 2011, available at </w:t>
      </w:r>
      <w:r w:rsidRPr="00C71FCE">
        <w:t>http://southllano.org/blog/wp-content/files/GBRI-Llano.doc</w:t>
      </w:r>
      <w:r w:rsidRPr="00F329D5">
        <w:t>http://www.twdb.state.tx.us/wrpi/rwp/3rdRound/2011_RWP/RegionJ/Executive_Summary/</w:t>
      </w:r>
    </w:p>
  </w:endnote>
  <w:endnote w:id="80">
    <w:p w:rsidR="003450AF" w:rsidRDefault="003450AF">
      <w:pPr>
        <w:pStyle w:val="EndnoteText"/>
      </w:pPr>
      <w:r>
        <w:rPr>
          <w:rStyle w:val="EndnoteReference"/>
        </w:rPr>
        <w:endnoteRef/>
      </w:r>
      <w:r>
        <w:t xml:space="preserve"> ibid, page 3-39.</w:t>
      </w:r>
    </w:p>
  </w:endnote>
  <w:endnote w:id="81">
    <w:p w:rsidR="003450AF" w:rsidRPr="00AE43A5" w:rsidRDefault="003450AF" w:rsidP="00222B41">
      <w:pPr>
        <w:pStyle w:val="EDF-Footnote"/>
        <w:rPr>
          <w:rFonts w:ascii="Times New Roman" w:hAnsi="Times New Roman"/>
          <w:sz w:val="20"/>
        </w:rPr>
      </w:pPr>
      <w:r w:rsidRPr="00AE43A5">
        <w:rPr>
          <w:rStyle w:val="EndnoteReference"/>
          <w:rFonts w:ascii="Times New Roman" w:hAnsi="Times New Roman"/>
          <w:sz w:val="20"/>
        </w:rPr>
        <w:endnoteRef/>
      </w:r>
      <w:r w:rsidRPr="00AE43A5">
        <w:rPr>
          <w:rFonts w:ascii="Times New Roman" w:hAnsi="Times New Roman"/>
          <w:sz w:val="20"/>
        </w:rPr>
        <w:t xml:space="preserve"> </w:t>
      </w:r>
      <w:r w:rsidRPr="00AE43A5">
        <w:rPr>
          <w:rFonts w:ascii="Times New Roman" w:hAnsi="Times New Roman"/>
          <w:i/>
          <w:iCs/>
          <w:sz w:val="20"/>
        </w:rPr>
        <w:t>See</w:t>
      </w:r>
      <w:r>
        <w:rPr>
          <w:rFonts w:ascii="Times New Roman" w:hAnsi="Times New Roman"/>
          <w:sz w:val="20"/>
        </w:rPr>
        <w:t xml:space="preserve"> http://www.tx.nrcs.usda.gov/</w:t>
      </w:r>
    </w:p>
  </w:endnote>
  <w:endnote w:id="82">
    <w:p w:rsidR="003450AF" w:rsidRPr="00C71FCE" w:rsidRDefault="003450AF">
      <w:pPr>
        <w:pStyle w:val="EndnoteText"/>
      </w:pPr>
      <w:r>
        <w:rPr>
          <w:rStyle w:val="EndnoteReference"/>
        </w:rPr>
        <w:endnoteRef/>
      </w:r>
      <w:r>
        <w:t xml:space="preserve"> Texas Parks and Wildlife Department, “</w:t>
      </w:r>
      <w:r w:rsidRPr="00C71FCE">
        <w:t>Guadalupe bass restoration initiative – Llano river</w:t>
      </w:r>
      <w:r>
        <w:rPr>
          <w:i/>
        </w:rPr>
        <w:t>”</w:t>
      </w:r>
      <w:r>
        <w:t xml:space="preserve">, undated fact sheet, available at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204060206030A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AF" w:rsidRDefault="003450AF">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AF" w:rsidRDefault="003450AF">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AF" w:rsidRDefault="003450AF">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0AF" w:rsidRDefault="003450AF">
      <w:r>
        <w:separator/>
      </w:r>
    </w:p>
  </w:footnote>
  <w:footnote w:type="continuationSeparator" w:id="0">
    <w:p w:rsidR="003450AF" w:rsidRDefault="003450AF">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AF" w:rsidRDefault="003450AF">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9.9pt;height:109.95pt;rotation:315;z-index:-251654144;mso-wrap-edited:f;mso-position-horizontal:center;mso-position-horizontal-relative:margin;mso-position-vertical:center;mso-position-vertical-relative:margin" wrapcoords="20833 4995 20362 2938 19920 2204 19419 4408 19242 6906 19213 7053 18830 8375 18063 7640 17415 7787 17209 8375 17061 8963 16590 7640 16295 7200 16118 7934 15912 7787 15500 7787 14291 4848 14056 4408 13790 4114 13348 3673 12229 3967 12140 4408 12523 6759 12494 9697 10461 2351 10372 2644 9753 2938 9724 3085 10078 7640 9459 7640 9076 8816 8192 7346 8103 7934 7396 7787 7101 8081 7042 8522 7366 10873 6099 7346 5981 7640 5451 7934 5333 8375 5097 9697 4037 7640 3477 7640 3300 8081 2062 4408 1797 3967 1355 3673 206 3967 147 4408 530 6759 500 13077 412 16016 117 16604 147 16751 294 17485 1414 17485 1974 17191 2357 16163 2445 15722 2534 14400 2534 13518 3388 17485 3978 17926 4037 17632 4538 16457 5422 17632 5952 17485 6040 17338 6777 17779 8015 17485 8192 17191 8162 16310 7867 13224 9429 17632 9930 17632 10048 17485 10962 17191 11021 16897 10667 14106 10667 10726 11639 15428 12494 18367 12730 17485 13407 17485 13938 17191 14439 16163 15411 17485 16001 17485 16295 17191 16295 16604 15942 13812 17356 17926 17887 17191 18653 17779 18741 17485 20008 17485 20097 17191 19684 12636 20598 16897 21128 18514 21600 16751 21541 16016 20981 12342 21040 9257 21334 9404 21541 8963 21541 8522 20833 4995" fillcolor="black" stroked="f">
          <v:fill opacity="12451f"/>
          <v:textpath style="font-family:&quot;Georgia&quot;;font-size:1pt" string="Board Draft"/>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AF" w:rsidRDefault="003450AF">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49.9pt;height:109.95pt;rotation:315;z-index:-251656192;mso-wrap-edited:f;mso-position-horizontal:center;mso-position-horizontal-relative:margin;mso-position-vertical:center;mso-position-vertical-relative:margin" wrapcoords="20833 4995 20362 2938 19920 2204 19419 4408 19242 6906 19213 7053 18830 8375 18063 7640 17415 7787 17209 8375 17061 8963 16590 7640 16295 7200 16118 7934 15912 7787 15500 7787 14291 4848 14056 4408 13790 4114 13348 3673 12229 3967 12140 4408 12523 6759 12494 9697 10461 2351 10372 2644 9753 2938 9724 3085 10078 7640 9459 7640 9076 8816 8192 7346 8103 7934 7396 7787 7101 8081 7042 8522 7366 10873 6099 7346 5981 7640 5451 7934 5333 8375 5097 9697 4037 7640 3477 7640 3300 8081 2062 4408 1797 3967 1355 3673 206 3967 147 4408 530 6759 500 13077 412 16016 117 16604 147 16751 294 17485 1414 17485 1974 17191 2357 16163 2445 15722 2534 14400 2534 13518 3388 17485 3978 17926 4037 17632 4538 16457 5422 17632 5952 17485 6040 17338 6777 17779 8015 17485 8192 17191 8162 16310 7867 13224 9429 17632 9930 17632 10048 17485 10962 17191 11021 16897 10667 14106 10667 10726 11639 15428 12494 18367 12730 17485 13407 17485 13938 17191 14439 16163 15411 17485 16001 17485 16295 17191 16295 16604 15942 13812 17356 17926 17887 17191 18653 17779 18741 17485 20008 17485 20097 17191 19684 12636 20598 16897 21128 18514 21600 16751 21541 16016 20981 12342 21040 9257 21334 9404 21541 8963 21541 8522 20833 4995" fillcolor="black" stroked="f">
          <v:fill opacity="12451f"/>
          <v:textpath style="font-family:&quot;Georgia&quot;;font-size:1pt" string="Board Draft"/>
          <w10:wrap anchorx="margin" anchory="margin"/>
        </v:shape>
      </w:pict>
    </w:r>
    <w:r>
      <w:tab/>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AF" w:rsidRDefault="003450AF">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49.9pt;height:109.95pt;rotation:315;z-index:-251652096;mso-wrap-edited:f;mso-position-horizontal:center;mso-position-horizontal-relative:margin;mso-position-vertical:center;mso-position-vertical-relative:margin" wrapcoords="20833 4995 20362 2938 19920 2204 19419 4408 19242 6906 19213 7053 18830 8375 18063 7640 17415 7787 17209 8375 17061 8963 16590 7640 16295 7200 16118 7934 15912 7787 15500 7787 14291 4848 14056 4408 13790 4114 13348 3673 12229 3967 12140 4408 12523 6759 12494 9697 10461 2351 10372 2644 9753 2938 9724 3085 10078 7640 9459 7640 9076 8816 8192 7346 8103 7934 7396 7787 7101 8081 7042 8522 7366 10873 6099 7346 5981 7640 5451 7934 5333 8375 5097 9697 4037 7640 3477 7640 3300 8081 2062 4408 1797 3967 1355 3673 206 3967 147 4408 530 6759 500 13077 412 16016 117 16604 147 16751 294 17485 1414 17485 1974 17191 2357 16163 2445 15722 2534 14400 2534 13518 3388 17485 3978 17926 4037 17632 4538 16457 5422 17632 5952 17485 6040 17338 6777 17779 8015 17485 8192 17191 8162 16310 7867 13224 9429 17632 9930 17632 10048 17485 10962 17191 11021 16897 10667 14106 10667 10726 11639 15428 12494 18367 12730 17485 13407 17485 13938 17191 14439 16163 15411 17485 16001 17485 16295 17191 16295 16604 15942 13812 17356 17926 17887 17191 18653 17779 18741 17485 20008 17485 20097 17191 19684 12636 20598 16897 21128 18514 21600 16751 21541 16016 20981 12342 21040 9257 21334 9404 21541 8963 21541 8522 20833 4995" fillcolor="black" stroked="f">
          <v:fill opacity="12451f"/>
          <v:textpath style="font-family:&quot;Georgia&quot;;font-size:1pt" string="Board Draft"/>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11F6A"/>
    <w:multiLevelType w:val="hybridMultilevel"/>
    <w:tmpl w:val="D99CB75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18D97FFD"/>
    <w:multiLevelType w:val="hybridMultilevel"/>
    <w:tmpl w:val="E35616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8B59A4"/>
    <w:multiLevelType w:val="hybridMultilevel"/>
    <w:tmpl w:val="58B23304"/>
    <w:lvl w:ilvl="0" w:tplc="92FC39E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6EF32723"/>
    <w:multiLevelType w:val="hybridMultilevel"/>
    <w:tmpl w:val="4F468D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EA856F4"/>
    <w:multiLevelType w:val="hybridMultilevel"/>
    <w:tmpl w:val="2326D8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numFmt w:val="decimal"/>
    <w:endnote w:id="-1"/>
    <w:endnote w:id="0"/>
  </w:endnotePr>
  <w:compat/>
  <w:rsids>
    <w:rsidRoot w:val="00154595"/>
    <w:rsid w:val="00024A7B"/>
    <w:rsid w:val="00025BF1"/>
    <w:rsid w:val="00026703"/>
    <w:rsid w:val="0003107B"/>
    <w:rsid w:val="00033A2D"/>
    <w:rsid w:val="000466C3"/>
    <w:rsid w:val="00053ECF"/>
    <w:rsid w:val="00057477"/>
    <w:rsid w:val="00072484"/>
    <w:rsid w:val="00090674"/>
    <w:rsid w:val="000928B8"/>
    <w:rsid w:val="00095206"/>
    <w:rsid w:val="000A0FB6"/>
    <w:rsid w:val="000C1C40"/>
    <w:rsid w:val="000C3664"/>
    <w:rsid w:val="000C47D4"/>
    <w:rsid w:val="000C4884"/>
    <w:rsid w:val="000C7DE5"/>
    <w:rsid w:val="000C7E31"/>
    <w:rsid w:val="000D2BBE"/>
    <w:rsid w:val="000D6A63"/>
    <w:rsid w:val="000D7D13"/>
    <w:rsid w:val="00104578"/>
    <w:rsid w:val="001366C7"/>
    <w:rsid w:val="00151AB0"/>
    <w:rsid w:val="00154595"/>
    <w:rsid w:val="00154D2C"/>
    <w:rsid w:val="001578A8"/>
    <w:rsid w:val="00171475"/>
    <w:rsid w:val="00197DAD"/>
    <w:rsid w:val="001B07A3"/>
    <w:rsid w:val="001B1320"/>
    <w:rsid w:val="001C2235"/>
    <w:rsid w:val="001C51BC"/>
    <w:rsid w:val="001D526E"/>
    <w:rsid w:val="001F19A4"/>
    <w:rsid w:val="001F2FD0"/>
    <w:rsid w:val="001F3AA5"/>
    <w:rsid w:val="002110BE"/>
    <w:rsid w:val="00222B41"/>
    <w:rsid w:val="00223368"/>
    <w:rsid w:val="00231133"/>
    <w:rsid w:val="0023514A"/>
    <w:rsid w:val="00237F21"/>
    <w:rsid w:val="00252C82"/>
    <w:rsid w:val="00260CC9"/>
    <w:rsid w:val="002614B5"/>
    <w:rsid w:val="00262281"/>
    <w:rsid w:val="00264F07"/>
    <w:rsid w:val="00270A24"/>
    <w:rsid w:val="00270C1F"/>
    <w:rsid w:val="002716D5"/>
    <w:rsid w:val="00280B54"/>
    <w:rsid w:val="00283E6D"/>
    <w:rsid w:val="00286E4C"/>
    <w:rsid w:val="00287E15"/>
    <w:rsid w:val="00290901"/>
    <w:rsid w:val="00291B8E"/>
    <w:rsid w:val="002A0853"/>
    <w:rsid w:val="002A2DB9"/>
    <w:rsid w:val="002A5016"/>
    <w:rsid w:val="002D3252"/>
    <w:rsid w:val="002D5DCE"/>
    <w:rsid w:val="002E408F"/>
    <w:rsid w:val="002F1B6E"/>
    <w:rsid w:val="00306ABC"/>
    <w:rsid w:val="003137A2"/>
    <w:rsid w:val="003176DB"/>
    <w:rsid w:val="00321EE0"/>
    <w:rsid w:val="00323111"/>
    <w:rsid w:val="0032465A"/>
    <w:rsid w:val="00332507"/>
    <w:rsid w:val="003450AF"/>
    <w:rsid w:val="00345B2C"/>
    <w:rsid w:val="00346637"/>
    <w:rsid w:val="003559C6"/>
    <w:rsid w:val="003564A5"/>
    <w:rsid w:val="00362C1B"/>
    <w:rsid w:val="00364011"/>
    <w:rsid w:val="00364AF3"/>
    <w:rsid w:val="00381515"/>
    <w:rsid w:val="0038627E"/>
    <w:rsid w:val="0039030F"/>
    <w:rsid w:val="003B53D1"/>
    <w:rsid w:val="003B6C76"/>
    <w:rsid w:val="003D029A"/>
    <w:rsid w:val="003D13E8"/>
    <w:rsid w:val="003D4D8B"/>
    <w:rsid w:val="00425E06"/>
    <w:rsid w:val="00430C15"/>
    <w:rsid w:val="00431023"/>
    <w:rsid w:val="00450067"/>
    <w:rsid w:val="0045488E"/>
    <w:rsid w:val="00455434"/>
    <w:rsid w:val="004811D3"/>
    <w:rsid w:val="004A22EF"/>
    <w:rsid w:val="004B07A1"/>
    <w:rsid w:val="004B6208"/>
    <w:rsid w:val="004B7FDC"/>
    <w:rsid w:val="004C58F3"/>
    <w:rsid w:val="004D20A6"/>
    <w:rsid w:val="004E1AC0"/>
    <w:rsid w:val="004E20E1"/>
    <w:rsid w:val="004E64B2"/>
    <w:rsid w:val="004E78B9"/>
    <w:rsid w:val="004F7B66"/>
    <w:rsid w:val="0050530E"/>
    <w:rsid w:val="00507986"/>
    <w:rsid w:val="00521E04"/>
    <w:rsid w:val="005221D0"/>
    <w:rsid w:val="0053536F"/>
    <w:rsid w:val="005369B4"/>
    <w:rsid w:val="005402D7"/>
    <w:rsid w:val="00561B85"/>
    <w:rsid w:val="00563388"/>
    <w:rsid w:val="005668F1"/>
    <w:rsid w:val="005674EF"/>
    <w:rsid w:val="005742E6"/>
    <w:rsid w:val="00575912"/>
    <w:rsid w:val="005777E5"/>
    <w:rsid w:val="00582213"/>
    <w:rsid w:val="0059233D"/>
    <w:rsid w:val="00594AE3"/>
    <w:rsid w:val="00597A8A"/>
    <w:rsid w:val="005A0742"/>
    <w:rsid w:val="005A3450"/>
    <w:rsid w:val="005A65FD"/>
    <w:rsid w:val="005B705B"/>
    <w:rsid w:val="005C27EF"/>
    <w:rsid w:val="005D19C8"/>
    <w:rsid w:val="005E504F"/>
    <w:rsid w:val="005E6711"/>
    <w:rsid w:val="005F047F"/>
    <w:rsid w:val="005F3F2B"/>
    <w:rsid w:val="005F3FB7"/>
    <w:rsid w:val="006104C3"/>
    <w:rsid w:val="00620375"/>
    <w:rsid w:val="0062363E"/>
    <w:rsid w:val="00626C40"/>
    <w:rsid w:val="006304E5"/>
    <w:rsid w:val="00651E56"/>
    <w:rsid w:val="00652146"/>
    <w:rsid w:val="00654C2A"/>
    <w:rsid w:val="006567B0"/>
    <w:rsid w:val="006658DB"/>
    <w:rsid w:val="00670463"/>
    <w:rsid w:val="00683D9D"/>
    <w:rsid w:val="006840E2"/>
    <w:rsid w:val="006A756E"/>
    <w:rsid w:val="006B797F"/>
    <w:rsid w:val="006C3083"/>
    <w:rsid w:val="006C431E"/>
    <w:rsid w:val="006C6156"/>
    <w:rsid w:val="006F041C"/>
    <w:rsid w:val="006F5A3D"/>
    <w:rsid w:val="00701FFA"/>
    <w:rsid w:val="007103DB"/>
    <w:rsid w:val="00711F11"/>
    <w:rsid w:val="00715DF9"/>
    <w:rsid w:val="00750439"/>
    <w:rsid w:val="00766624"/>
    <w:rsid w:val="00772E36"/>
    <w:rsid w:val="00776187"/>
    <w:rsid w:val="0078645B"/>
    <w:rsid w:val="0079784A"/>
    <w:rsid w:val="007A0477"/>
    <w:rsid w:val="007B6793"/>
    <w:rsid w:val="007C10D9"/>
    <w:rsid w:val="007D01AE"/>
    <w:rsid w:val="007D173E"/>
    <w:rsid w:val="0080399E"/>
    <w:rsid w:val="0080404C"/>
    <w:rsid w:val="008131E1"/>
    <w:rsid w:val="00813F7E"/>
    <w:rsid w:val="008210BF"/>
    <w:rsid w:val="00822ED6"/>
    <w:rsid w:val="00860194"/>
    <w:rsid w:val="00876395"/>
    <w:rsid w:val="008911CB"/>
    <w:rsid w:val="00897D21"/>
    <w:rsid w:val="008A1214"/>
    <w:rsid w:val="008A26A5"/>
    <w:rsid w:val="008B1DB5"/>
    <w:rsid w:val="008B2EE6"/>
    <w:rsid w:val="008C03AD"/>
    <w:rsid w:val="008C44B2"/>
    <w:rsid w:val="008C4739"/>
    <w:rsid w:val="008C6496"/>
    <w:rsid w:val="008D7769"/>
    <w:rsid w:val="008E105D"/>
    <w:rsid w:val="008F1811"/>
    <w:rsid w:val="00905E74"/>
    <w:rsid w:val="00907CD9"/>
    <w:rsid w:val="00913E21"/>
    <w:rsid w:val="0091427F"/>
    <w:rsid w:val="00927ED5"/>
    <w:rsid w:val="00935EF6"/>
    <w:rsid w:val="00941D85"/>
    <w:rsid w:val="00943004"/>
    <w:rsid w:val="00950802"/>
    <w:rsid w:val="00965410"/>
    <w:rsid w:val="00973B45"/>
    <w:rsid w:val="00986F10"/>
    <w:rsid w:val="009A0C6B"/>
    <w:rsid w:val="009A1AE0"/>
    <w:rsid w:val="009B1A46"/>
    <w:rsid w:val="009C7526"/>
    <w:rsid w:val="009C7762"/>
    <w:rsid w:val="009E4804"/>
    <w:rsid w:val="00A14D95"/>
    <w:rsid w:val="00A16568"/>
    <w:rsid w:val="00A171EE"/>
    <w:rsid w:val="00A2138A"/>
    <w:rsid w:val="00A2431C"/>
    <w:rsid w:val="00A24A55"/>
    <w:rsid w:val="00A3207C"/>
    <w:rsid w:val="00A410E6"/>
    <w:rsid w:val="00A55F0A"/>
    <w:rsid w:val="00A726FD"/>
    <w:rsid w:val="00A8057C"/>
    <w:rsid w:val="00A85A5B"/>
    <w:rsid w:val="00AA0343"/>
    <w:rsid w:val="00AA391C"/>
    <w:rsid w:val="00AB23CD"/>
    <w:rsid w:val="00AD012F"/>
    <w:rsid w:val="00B06DF7"/>
    <w:rsid w:val="00B2160B"/>
    <w:rsid w:val="00B25DDE"/>
    <w:rsid w:val="00B35378"/>
    <w:rsid w:val="00B37E65"/>
    <w:rsid w:val="00B55835"/>
    <w:rsid w:val="00B60A81"/>
    <w:rsid w:val="00B83470"/>
    <w:rsid w:val="00B83C2D"/>
    <w:rsid w:val="00B845D0"/>
    <w:rsid w:val="00B92182"/>
    <w:rsid w:val="00B97E2D"/>
    <w:rsid w:val="00BA5A18"/>
    <w:rsid w:val="00BB6FC1"/>
    <w:rsid w:val="00BC2167"/>
    <w:rsid w:val="00BC77F4"/>
    <w:rsid w:val="00BD62D7"/>
    <w:rsid w:val="00BE3A42"/>
    <w:rsid w:val="00BE4564"/>
    <w:rsid w:val="00BF68CC"/>
    <w:rsid w:val="00C0230C"/>
    <w:rsid w:val="00C029F5"/>
    <w:rsid w:val="00C25B4A"/>
    <w:rsid w:val="00C65493"/>
    <w:rsid w:val="00C71FCE"/>
    <w:rsid w:val="00C82381"/>
    <w:rsid w:val="00C824FC"/>
    <w:rsid w:val="00C864EE"/>
    <w:rsid w:val="00C96AF6"/>
    <w:rsid w:val="00CA037F"/>
    <w:rsid w:val="00CA2015"/>
    <w:rsid w:val="00CA40A4"/>
    <w:rsid w:val="00CA53AB"/>
    <w:rsid w:val="00CB15D2"/>
    <w:rsid w:val="00CC1207"/>
    <w:rsid w:val="00CC4EA6"/>
    <w:rsid w:val="00CC6E80"/>
    <w:rsid w:val="00CC779D"/>
    <w:rsid w:val="00CD0D70"/>
    <w:rsid w:val="00CE0EFD"/>
    <w:rsid w:val="00CE318E"/>
    <w:rsid w:val="00CF48A3"/>
    <w:rsid w:val="00CF5CA5"/>
    <w:rsid w:val="00D03ECD"/>
    <w:rsid w:val="00D043DD"/>
    <w:rsid w:val="00D06C7F"/>
    <w:rsid w:val="00D22FB3"/>
    <w:rsid w:val="00D35F2B"/>
    <w:rsid w:val="00D40B5E"/>
    <w:rsid w:val="00D44B77"/>
    <w:rsid w:val="00D54CB2"/>
    <w:rsid w:val="00D6285A"/>
    <w:rsid w:val="00D76CEF"/>
    <w:rsid w:val="00D84520"/>
    <w:rsid w:val="00D8755A"/>
    <w:rsid w:val="00D94736"/>
    <w:rsid w:val="00D95C7C"/>
    <w:rsid w:val="00DA20A7"/>
    <w:rsid w:val="00DB49B8"/>
    <w:rsid w:val="00DD5C7B"/>
    <w:rsid w:val="00DF0787"/>
    <w:rsid w:val="00E00805"/>
    <w:rsid w:val="00E04097"/>
    <w:rsid w:val="00E04D35"/>
    <w:rsid w:val="00E07571"/>
    <w:rsid w:val="00E13AE7"/>
    <w:rsid w:val="00E17601"/>
    <w:rsid w:val="00E25EBC"/>
    <w:rsid w:val="00E354A7"/>
    <w:rsid w:val="00E364C6"/>
    <w:rsid w:val="00E47BE9"/>
    <w:rsid w:val="00E54CD8"/>
    <w:rsid w:val="00E77666"/>
    <w:rsid w:val="00E8783A"/>
    <w:rsid w:val="00E95B1A"/>
    <w:rsid w:val="00E95F76"/>
    <w:rsid w:val="00EA4252"/>
    <w:rsid w:val="00EB0792"/>
    <w:rsid w:val="00EB2456"/>
    <w:rsid w:val="00EB3C0C"/>
    <w:rsid w:val="00EB600C"/>
    <w:rsid w:val="00ED415C"/>
    <w:rsid w:val="00EF1C17"/>
    <w:rsid w:val="00F1192D"/>
    <w:rsid w:val="00F24413"/>
    <w:rsid w:val="00F2713C"/>
    <w:rsid w:val="00F27C51"/>
    <w:rsid w:val="00F329D5"/>
    <w:rsid w:val="00F32CD2"/>
    <w:rsid w:val="00F33636"/>
    <w:rsid w:val="00F4098F"/>
    <w:rsid w:val="00F418F8"/>
    <w:rsid w:val="00F47658"/>
    <w:rsid w:val="00F47E8D"/>
    <w:rsid w:val="00F5525D"/>
    <w:rsid w:val="00F624CB"/>
    <w:rsid w:val="00F6265A"/>
    <w:rsid w:val="00F80AE5"/>
    <w:rsid w:val="00F85283"/>
    <w:rsid w:val="00F8542D"/>
    <w:rsid w:val="00F91A1C"/>
    <w:rsid w:val="00F92076"/>
    <w:rsid w:val="00F9523E"/>
    <w:rsid w:val="00FB4F75"/>
    <w:rsid w:val="00FB70E4"/>
    <w:rsid w:val="00FB7166"/>
    <w:rsid w:val="00FC05D4"/>
    <w:rsid w:val="00FC1EB2"/>
    <w:rsid w:val="00FC393B"/>
    <w:rsid w:val="00FD711B"/>
    <w:rsid w:val="00FF35DE"/>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aliases w:val="Normal + bold + centered"/>
    <w:next w:val="NormalIndent"/>
    <w:qFormat/>
    <w:rsid w:val="004B07A1"/>
    <w:rPr>
      <w:rFonts w:ascii="Georgia" w:hAnsi="Georgia"/>
    </w:rPr>
  </w:style>
  <w:style w:type="paragraph" w:styleId="Heading1">
    <w:name w:val="heading 1"/>
    <w:basedOn w:val="Normal"/>
    <w:next w:val="Normal"/>
    <w:qFormat/>
    <w:rsid w:val="00BA5A18"/>
    <w:pPr>
      <w:keepNext/>
      <w:outlineLvl w:val="0"/>
    </w:pPr>
    <w:rPr>
      <w:b/>
      <w:bCs/>
    </w:rPr>
  </w:style>
  <w:style w:type="paragraph" w:styleId="Heading2">
    <w:name w:val="heading 2"/>
    <w:basedOn w:val="Normal"/>
    <w:next w:val="Normal"/>
    <w:qFormat/>
    <w:rsid w:val="00BA5A18"/>
    <w:pPr>
      <w:keepNext/>
      <w:outlineLvl w:val="1"/>
    </w:pPr>
    <w:rPr>
      <w:i/>
      <w:iCs/>
    </w:rPr>
  </w:style>
  <w:style w:type="paragraph" w:styleId="Heading3">
    <w:name w:val="heading 3"/>
    <w:basedOn w:val="Normal"/>
    <w:next w:val="Normal"/>
    <w:qFormat/>
    <w:rsid w:val="00BA5A18"/>
    <w:pPr>
      <w:keepNext/>
      <w:outlineLvl w:val="2"/>
    </w:pPr>
    <w:rPr>
      <w:i/>
      <w:iCs/>
      <w:sz w:val="20"/>
    </w:rPr>
  </w:style>
  <w:style w:type="paragraph" w:styleId="Heading4">
    <w:name w:val="heading 4"/>
    <w:basedOn w:val="Normal"/>
    <w:next w:val="Normal"/>
    <w:qFormat/>
    <w:rsid w:val="00BA5A18"/>
    <w:pPr>
      <w:keepNext/>
      <w:jc w:val="center"/>
      <w:outlineLvl w:val="3"/>
    </w:pPr>
    <w:rPr>
      <w:rFonts w:ascii="Arial" w:hAnsi="Arial" w:cs="Arial"/>
      <w:b/>
      <w:bCs/>
      <w:sz w:val="20"/>
      <w:szCs w:val="20"/>
    </w:rPr>
  </w:style>
  <w:style w:type="paragraph" w:styleId="Heading5">
    <w:name w:val="heading 5"/>
    <w:basedOn w:val="Normal"/>
    <w:next w:val="Normal"/>
    <w:qFormat/>
    <w:rsid w:val="00BA5A18"/>
    <w:pPr>
      <w:keepNext/>
      <w:outlineLvl w:val="4"/>
    </w:pPr>
    <w:rPr>
      <w:b/>
      <w:i/>
      <w:i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semiHidden/>
    <w:rsid w:val="00BA5A18"/>
    <w:rPr>
      <w:rFonts w:ascii="Tahoma" w:hAnsi="Tahoma" w:cs="Tahoma"/>
      <w:sz w:val="16"/>
      <w:szCs w:val="16"/>
    </w:rPr>
  </w:style>
  <w:style w:type="character" w:customStyle="1" w:styleId="BalloonTextChar">
    <w:name w:val="Balloon Text Char"/>
    <w:basedOn w:val="DefaultParagraphFont"/>
    <w:link w:val="BalloonText"/>
    <w:uiPriority w:val="99"/>
    <w:semiHidden/>
    <w:rsid w:val="00DB1A72"/>
    <w:rPr>
      <w:rFonts w:ascii="Lucida Grande" w:hAnsi="Lucida Grande"/>
      <w:sz w:val="18"/>
      <w:szCs w:val="18"/>
    </w:rPr>
  </w:style>
  <w:style w:type="character" w:customStyle="1" w:styleId="BalloonTextChar0">
    <w:name w:val="Balloon Text Char"/>
    <w:basedOn w:val="DefaultParagraphFont"/>
    <w:link w:val="BalloonText"/>
    <w:uiPriority w:val="99"/>
    <w:semiHidden/>
    <w:rsid w:val="00DB1A72"/>
    <w:rPr>
      <w:rFonts w:ascii="Lucida Grande" w:hAnsi="Lucida Grande"/>
      <w:sz w:val="18"/>
      <w:szCs w:val="18"/>
    </w:rPr>
  </w:style>
  <w:style w:type="character" w:customStyle="1" w:styleId="BalloonTextChar2">
    <w:name w:val="Balloon Text Char"/>
    <w:basedOn w:val="DefaultParagraphFont"/>
    <w:link w:val="BalloonText"/>
    <w:uiPriority w:val="99"/>
    <w:semiHidden/>
    <w:rsid w:val="0050562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05625"/>
    <w:rPr>
      <w:rFonts w:ascii="Lucida Grande" w:hAnsi="Lucida Grande"/>
      <w:sz w:val="18"/>
      <w:szCs w:val="18"/>
    </w:rPr>
  </w:style>
  <w:style w:type="paragraph" w:styleId="FootnoteText">
    <w:name w:val="footnote text"/>
    <w:basedOn w:val="Normal"/>
    <w:semiHidden/>
    <w:rsid w:val="00BA5A18"/>
    <w:rPr>
      <w:sz w:val="20"/>
      <w:szCs w:val="20"/>
    </w:rPr>
  </w:style>
  <w:style w:type="character" w:styleId="FootnoteReference">
    <w:name w:val="footnote reference"/>
    <w:basedOn w:val="DefaultParagraphFont"/>
    <w:semiHidden/>
    <w:rsid w:val="00BA5A18"/>
    <w:rPr>
      <w:vertAlign w:val="superscript"/>
    </w:rPr>
  </w:style>
  <w:style w:type="paragraph" w:styleId="NormalWeb">
    <w:name w:val="Normal (Web)"/>
    <w:basedOn w:val="Normal"/>
    <w:rsid w:val="00BA5A18"/>
    <w:pPr>
      <w:spacing w:before="100" w:beforeAutospacing="1" w:after="100" w:afterAutospacing="1"/>
    </w:pPr>
  </w:style>
  <w:style w:type="character" w:styleId="Emphasis">
    <w:name w:val="Emphasis"/>
    <w:basedOn w:val="DefaultParagraphFont"/>
    <w:qFormat/>
    <w:rsid w:val="00BA5A18"/>
    <w:rPr>
      <w:i/>
      <w:iCs/>
    </w:rPr>
  </w:style>
  <w:style w:type="paragraph" w:styleId="BodyText">
    <w:name w:val="Body Text"/>
    <w:basedOn w:val="Normal"/>
    <w:rsid w:val="00BA5A18"/>
    <w:rPr>
      <w:b/>
      <w:bCs/>
    </w:rPr>
  </w:style>
  <w:style w:type="paragraph" w:styleId="Caption">
    <w:name w:val="caption"/>
    <w:basedOn w:val="Normal"/>
    <w:next w:val="Normal"/>
    <w:qFormat/>
    <w:rsid w:val="00BA5A18"/>
    <w:rPr>
      <w:i/>
      <w:iCs/>
    </w:rPr>
  </w:style>
  <w:style w:type="character" w:styleId="CommentReference">
    <w:name w:val="annotation reference"/>
    <w:basedOn w:val="DefaultParagraphFont"/>
    <w:semiHidden/>
    <w:rsid w:val="00BA5A18"/>
    <w:rPr>
      <w:sz w:val="16"/>
      <w:szCs w:val="16"/>
    </w:rPr>
  </w:style>
  <w:style w:type="paragraph" w:styleId="CommentText">
    <w:name w:val="annotation text"/>
    <w:basedOn w:val="Normal"/>
    <w:semiHidden/>
    <w:rsid w:val="00BA5A18"/>
    <w:rPr>
      <w:sz w:val="20"/>
      <w:szCs w:val="20"/>
    </w:rPr>
  </w:style>
  <w:style w:type="paragraph" w:styleId="CommentSubject">
    <w:name w:val="annotation subject"/>
    <w:basedOn w:val="CommentText"/>
    <w:next w:val="CommentText"/>
    <w:semiHidden/>
    <w:rsid w:val="00BA5A18"/>
    <w:rPr>
      <w:b/>
      <w:bCs/>
    </w:rPr>
  </w:style>
  <w:style w:type="character" w:customStyle="1" w:styleId="body1">
    <w:name w:val="body1"/>
    <w:basedOn w:val="DefaultParagraphFont"/>
    <w:rsid w:val="00BA5A18"/>
    <w:rPr>
      <w:rFonts w:ascii="Verdana" w:hAnsi="Verdana" w:hint="default"/>
      <w:color w:val="000000"/>
      <w:sz w:val="17"/>
      <w:szCs w:val="17"/>
    </w:rPr>
  </w:style>
  <w:style w:type="paragraph" w:styleId="Header">
    <w:name w:val="header"/>
    <w:basedOn w:val="Normal"/>
    <w:rsid w:val="00BA5A18"/>
    <w:pPr>
      <w:tabs>
        <w:tab w:val="center" w:pos="4320"/>
        <w:tab w:val="right" w:pos="8640"/>
      </w:tabs>
    </w:pPr>
  </w:style>
  <w:style w:type="paragraph" w:styleId="Footer">
    <w:name w:val="footer"/>
    <w:basedOn w:val="Normal"/>
    <w:rsid w:val="00BA5A18"/>
    <w:pPr>
      <w:tabs>
        <w:tab w:val="center" w:pos="4320"/>
        <w:tab w:val="right" w:pos="8640"/>
      </w:tabs>
    </w:pPr>
  </w:style>
  <w:style w:type="paragraph" w:styleId="EndnoteText">
    <w:name w:val="endnote text"/>
    <w:basedOn w:val="Normal"/>
    <w:rsid w:val="00BA5A18"/>
    <w:rPr>
      <w:sz w:val="20"/>
      <w:szCs w:val="20"/>
    </w:rPr>
  </w:style>
  <w:style w:type="character" w:styleId="EndnoteReference">
    <w:name w:val="endnote reference"/>
    <w:basedOn w:val="DefaultParagraphFont"/>
    <w:rsid w:val="00BA5A18"/>
    <w:rPr>
      <w:vertAlign w:val="superscript"/>
    </w:rPr>
  </w:style>
  <w:style w:type="character" w:styleId="Hyperlink">
    <w:name w:val="Hyperlink"/>
    <w:basedOn w:val="DefaultParagraphFont"/>
    <w:rsid w:val="00BA5A18"/>
    <w:rPr>
      <w:color w:val="0000FF"/>
      <w:u w:val="single"/>
    </w:rPr>
  </w:style>
  <w:style w:type="character" w:styleId="FollowedHyperlink">
    <w:name w:val="FollowedHyperlink"/>
    <w:basedOn w:val="DefaultParagraphFont"/>
    <w:rsid w:val="00BA5A18"/>
    <w:rPr>
      <w:color w:val="800080"/>
      <w:u w:val="single"/>
    </w:rPr>
  </w:style>
  <w:style w:type="paragraph" w:styleId="BodyText2">
    <w:name w:val="Body Text 2"/>
    <w:basedOn w:val="Normal"/>
    <w:rsid w:val="00BA5A18"/>
    <w:pPr>
      <w:jc w:val="center"/>
    </w:pPr>
    <w:rPr>
      <w:b/>
      <w:bCs/>
    </w:rPr>
  </w:style>
  <w:style w:type="paragraph" w:styleId="BlockText">
    <w:name w:val="Block Text"/>
    <w:basedOn w:val="Normal"/>
    <w:rsid w:val="00BA5A18"/>
    <w:pPr>
      <w:ind w:left="720" w:right="540"/>
    </w:pPr>
    <w:rPr>
      <w:vertAlign w:val="superscript"/>
    </w:rPr>
  </w:style>
  <w:style w:type="paragraph" w:styleId="BodyText3">
    <w:name w:val="Body Text 3"/>
    <w:basedOn w:val="Normal"/>
    <w:rsid w:val="00BA5A18"/>
    <w:rPr>
      <w:sz w:val="20"/>
    </w:rPr>
  </w:style>
  <w:style w:type="character" w:styleId="PageNumber">
    <w:name w:val="page number"/>
    <w:basedOn w:val="DefaultParagraphFont"/>
    <w:rsid w:val="00BA5A18"/>
  </w:style>
  <w:style w:type="paragraph" w:styleId="BodyTextIndent">
    <w:name w:val="Body Text Indent"/>
    <w:basedOn w:val="Normal"/>
    <w:rsid w:val="00BA5A18"/>
    <w:pPr>
      <w:ind w:left="-180"/>
    </w:pPr>
  </w:style>
  <w:style w:type="paragraph" w:styleId="BodyTextIndent2">
    <w:name w:val="Body Text Indent 2"/>
    <w:basedOn w:val="Normal"/>
    <w:rsid w:val="00BA5A18"/>
    <w:pPr>
      <w:ind w:left="-180"/>
    </w:pPr>
    <w:rPr>
      <w:sz w:val="22"/>
    </w:rPr>
  </w:style>
  <w:style w:type="paragraph" w:styleId="TOC1">
    <w:name w:val="toc 1"/>
    <w:basedOn w:val="Normal"/>
    <w:next w:val="Normal"/>
    <w:autoRedefine/>
    <w:rsid w:val="00BA5A18"/>
  </w:style>
  <w:style w:type="paragraph" w:styleId="TOC2">
    <w:name w:val="toc 2"/>
    <w:basedOn w:val="Normal"/>
    <w:next w:val="Normal"/>
    <w:autoRedefine/>
    <w:rsid w:val="00BA5A18"/>
    <w:pPr>
      <w:ind w:left="240"/>
    </w:pPr>
  </w:style>
  <w:style w:type="paragraph" w:styleId="TOC3">
    <w:name w:val="toc 3"/>
    <w:basedOn w:val="Normal"/>
    <w:next w:val="Normal"/>
    <w:autoRedefine/>
    <w:rsid w:val="00BA5A18"/>
    <w:pPr>
      <w:ind w:left="480"/>
    </w:pPr>
  </w:style>
  <w:style w:type="paragraph" w:styleId="TOC4">
    <w:name w:val="toc 4"/>
    <w:basedOn w:val="Normal"/>
    <w:next w:val="Normal"/>
    <w:autoRedefine/>
    <w:rsid w:val="00BA5A18"/>
    <w:pPr>
      <w:ind w:left="720"/>
    </w:pPr>
  </w:style>
  <w:style w:type="paragraph" w:styleId="TOC5">
    <w:name w:val="toc 5"/>
    <w:basedOn w:val="Normal"/>
    <w:next w:val="Normal"/>
    <w:autoRedefine/>
    <w:rsid w:val="00BA5A18"/>
    <w:pPr>
      <w:ind w:left="960"/>
    </w:pPr>
  </w:style>
  <w:style w:type="paragraph" w:styleId="TOC6">
    <w:name w:val="toc 6"/>
    <w:basedOn w:val="Normal"/>
    <w:next w:val="Normal"/>
    <w:autoRedefine/>
    <w:rsid w:val="00BA5A18"/>
    <w:pPr>
      <w:ind w:left="1200"/>
    </w:pPr>
  </w:style>
  <w:style w:type="paragraph" w:styleId="TOC7">
    <w:name w:val="toc 7"/>
    <w:basedOn w:val="Normal"/>
    <w:next w:val="Normal"/>
    <w:autoRedefine/>
    <w:rsid w:val="00BA5A18"/>
    <w:pPr>
      <w:ind w:left="1440"/>
    </w:pPr>
  </w:style>
  <w:style w:type="paragraph" w:styleId="TOC8">
    <w:name w:val="toc 8"/>
    <w:basedOn w:val="Normal"/>
    <w:next w:val="Normal"/>
    <w:autoRedefine/>
    <w:rsid w:val="00BA5A18"/>
    <w:pPr>
      <w:ind w:left="1680"/>
    </w:pPr>
  </w:style>
  <w:style w:type="paragraph" w:styleId="TOC9">
    <w:name w:val="toc 9"/>
    <w:basedOn w:val="Normal"/>
    <w:next w:val="Normal"/>
    <w:autoRedefine/>
    <w:rsid w:val="00BA5A18"/>
    <w:pPr>
      <w:ind w:left="1920"/>
    </w:pPr>
  </w:style>
  <w:style w:type="table" w:styleId="TableGrid">
    <w:name w:val="Table Grid"/>
    <w:basedOn w:val="TableNormal"/>
    <w:rsid w:val="006C30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DF-Footnote">
    <w:name w:val="EDF-Footnote"/>
    <w:basedOn w:val="FootnoteText"/>
    <w:qFormat/>
    <w:rsid w:val="008911CB"/>
    <w:pPr>
      <w:contextualSpacing/>
    </w:pPr>
    <w:rPr>
      <w:rFonts w:eastAsia="Calibri"/>
      <w:sz w:val="16"/>
    </w:rPr>
  </w:style>
  <w:style w:type="paragraph" w:customStyle="1" w:styleId="EDF-TableFigureTitle">
    <w:name w:val="EDF-TableFigure Title"/>
    <w:basedOn w:val="Normal"/>
    <w:qFormat/>
    <w:rsid w:val="008911CB"/>
    <w:pPr>
      <w:keepNext/>
      <w:keepLines/>
      <w:spacing w:after="120" w:line="276" w:lineRule="auto"/>
    </w:pPr>
    <w:rPr>
      <w:rFonts w:ascii="Arial" w:eastAsia="Cambria" w:hAnsi="Arial"/>
      <w:b/>
    </w:rPr>
  </w:style>
  <w:style w:type="paragraph" w:customStyle="1" w:styleId="EDF-BodyCopy">
    <w:name w:val="EDF-Body Copy"/>
    <w:qFormat/>
    <w:rsid w:val="00362C1B"/>
    <w:pPr>
      <w:spacing w:after="253" w:line="276" w:lineRule="auto"/>
    </w:pPr>
    <w:rPr>
      <w:rFonts w:ascii="Georgia" w:eastAsia="Cambria" w:hAnsi="Georgia"/>
      <w:sz w:val="22"/>
    </w:rPr>
  </w:style>
  <w:style w:type="paragraph" w:styleId="NoSpacing">
    <w:name w:val="No Spacing"/>
    <w:qFormat/>
    <w:rsid w:val="004E20E1"/>
    <w:rPr>
      <w:rFonts w:ascii="Calibri" w:eastAsia="Calibri" w:hAnsi="Calibri"/>
      <w:sz w:val="22"/>
      <w:szCs w:val="22"/>
    </w:rPr>
  </w:style>
  <w:style w:type="paragraph" w:customStyle="1" w:styleId="Style1">
    <w:name w:val="Style1"/>
    <w:basedOn w:val="Normal"/>
    <w:qFormat/>
    <w:rsid w:val="004B07A1"/>
  </w:style>
  <w:style w:type="paragraph" w:styleId="NormalIndent">
    <w:name w:val="Normal Indent"/>
    <w:basedOn w:val="Normal"/>
    <w:rsid w:val="00A85A5B"/>
    <w:pPr>
      <w:ind w:left="720"/>
    </w:pPr>
  </w:style>
</w:styles>
</file>

<file path=word/webSettings.xml><?xml version="1.0" encoding="utf-8"?>
<w:webSettings xmlns:r="http://schemas.openxmlformats.org/officeDocument/2006/relationships" xmlns:w="http://schemas.openxmlformats.org/wordprocessingml/2006/main">
  <w:divs>
    <w:div w:id="327750700">
      <w:bodyDiv w:val="1"/>
      <w:marLeft w:val="0"/>
      <w:marRight w:val="0"/>
      <w:marTop w:val="0"/>
      <w:marBottom w:val="0"/>
      <w:divBdr>
        <w:top w:val="none" w:sz="0" w:space="0" w:color="auto"/>
        <w:left w:val="none" w:sz="0" w:space="0" w:color="auto"/>
        <w:bottom w:val="none" w:sz="0" w:space="0" w:color="auto"/>
        <w:right w:val="none" w:sz="0" w:space="0" w:color="auto"/>
      </w:divBdr>
    </w:div>
    <w:div w:id="97545350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wmf"/><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chart" Target="charts/chart4.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southllano.org" TargetMode="External"/></Relationships>
</file>

<file path=word/_rels/endnotes.xml.rels><?xml version="1.0" encoding="UTF-8" standalone="yes"?>
<Relationships xmlns="http://schemas.openxmlformats.org/package/2006/relationships"><Relationship Id="rId9" Type="http://schemas.openxmlformats.org/officeDocument/2006/relationships/hyperlink" Target="http://www.twdb.state.tx.us/publications/reports/GroundWaterReports/GWReports/Individual%20Report%20htm%20files/Report%20235.htm" TargetMode="External"/><Relationship Id="rId20" Type="http://schemas.openxmlformats.org/officeDocument/2006/relationships/hyperlink" Target="http://rangeland.tamu.edu/people/wilcox/Publications/003.pdf" TargetMode="External"/><Relationship Id="rId21" Type="http://schemas.openxmlformats.org/officeDocument/2006/relationships/hyperlink" Target="http://www.farmland.org/resources/reports/texas/fragmentation_GoingGoingGone.pdf" TargetMode="External"/><Relationship Id="rId22" Type="http://schemas.openxmlformats.org/officeDocument/2006/relationships/hyperlink" Target="http://irnr.tamu.edu/pdf/tx_rural_lands.pdf" TargetMode="External"/><Relationship Id="rId23" Type="http://schemas.openxmlformats.org/officeDocument/2006/relationships/hyperlink" Target="http://waterdata.usgs.gov/nwis/dv/?site_no=08151500&amp;amp;referred_module=sw." TargetMode="External"/><Relationship Id="rId10" Type="http://schemas.openxmlformats.org/officeDocument/2006/relationships/hyperlink" Target="http://www.twdb.state.tx.us/gam/eddt_p/eddt_p.htm" TargetMode="External"/><Relationship Id="rId11" Type="http://schemas.openxmlformats.org/officeDocument/2006/relationships/hyperlink" Target="http://www.gbra.org/Documents/Reports/TreeRingStudy.pdf" TargetMode="External"/><Relationship Id="rId12" Type="http://schemas.openxmlformats.org/officeDocument/2006/relationships/hyperlink" Target="http://www.twdb.state.tx.us/publications/reports/GroundwaterReports/GWDatabaseReports/Database%20Reports/Edwards/Record%20of%20Wells.pdf" TargetMode="External"/><Relationship Id="rId13" Type="http://schemas.openxmlformats.org/officeDocument/2006/relationships/hyperlink" Target="http://waterdata.usgs.gov/nwis/dv/?site_no=08151500&amp;amp;referred_module=sw." TargetMode="External"/><Relationship Id="rId14" Type="http://schemas.openxmlformats.org/officeDocument/2006/relationships/hyperlink" Target="http://waterquality.lcra.org/sitelist.asp" TargetMode="External"/><Relationship Id="rId15" Type="http://schemas.openxmlformats.org/officeDocument/2006/relationships/hyperlink" Target="http://waterquality.lcra.org/sitelist.asp" TargetMode="External"/><Relationship Id="rId16" Type="http://schemas.openxmlformats.org/officeDocument/2006/relationships/hyperlink" Target="http://www.tceq.state.tx.us/comm_exec/forms_pubs/pubs/gi/gi-034.html" TargetMode="External"/><Relationship Id="rId17" Type="http://schemas.openxmlformats.org/officeDocument/2006/relationships/hyperlink" Target="http://www.twdb.state.tx.us/publications/reports/GroundwaterReports/GWDatabaseReports/Gwdata" TargetMode="External"/><Relationship Id="rId18" Type="http://schemas.openxmlformats.org/officeDocument/2006/relationships/hyperlink" Target="http://www.nature.org/wherewework/northamerica/states/texas/files/edwardsplateauexecsum.pdf" TargetMode="External"/><Relationship Id="rId19" Type="http://schemas.openxmlformats.org/officeDocument/2006/relationships/hyperlink" Target="http://ecommons.txstate.edu/cgi/viewcontent.cgi?article=1004&amp;context=bioltad" TargetMode="External"/><Relationship Id="rId1" Type="http://schemas.openxmlformats.org/officeDocument/2006/relationships/hyperlink" Target="http://www.twdb.state.tx.us/publications/reports/GroundWaterReports/GWReports/R60AEPC/Ch02.pdf" TargetMode="External"/><Relationship Id="rId2" Type="http://schemas.openxmlformats.org/officeDocument/2006/relationships/hyperlink" Target="http://waterdata.usgs.gov/nwis/dv/?site_no=08150000&amp;amp;referred_module=sw" TargetMode="External"/><Relationship Id="rId3" Type="http://schemas.openxmlformats.org/officeDocument/2006/relationships/hyperlink" Target="http://waterdata.usgs.gov/nwis/dv/?site_no=08150000&amp;amp;referred_module=sw" TargetMode="External"/><Relationship Id="rId4" Type="http://schemas.openxmlformats.org/officeDocument/2006/relationships/hyperlink" Target="http://pubs.er.usgs.gov/usgspubs/ofr/ofr03315" TargetMode="External"/><Relationship Id="rId5" Type="http://schemas.openxmlformats.org/officeDocument/2006/relationships/hyperlink" Target="http://pubs.er.usgs.gov/usgspubs/ofr/ofr0268" TargetMode="External"/><Relationship Id="rId6" Type="http://schemas.openxmlformats.org/officeDocument/2006/relationships/hyperlink" Target="http://pubs.er.usgs.gov/usgspubs/ofr/ofr0268" TargetMode="External"/><Relationship Id="rId7" Type="http://schemas.openxmlformats.org/officeDocument/2006/relationships/hyperlink" Target="http://pubs.er.usgs.gov/usgspubs/wri/wri884218" TargetMode="External"/><Relationship Id="rId8" Type="http://schemas.openxmlformats.org/officeDocument/2006/relationships/hyperlink" Target="http://pubs.er.usgs.gov/usgspubs/wri/wri93403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tysonbroad:Documents:compare.doc!_1264014160"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tysonbroad:Documents:compare.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tysonbroad:Documents:NLlanoQ.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10606060606061"/>
          <c:y val="0.0586319218241042"/>
          <c:w val="0.877272727272727"/>
          <c:h val="0.830618892508143"/>
        </c:manualLayout>
      </c:layout>
      <c:barChart>
        <c:barDir val="col"/>
        <c:grouping val="clustered"/>
        <c:ser>
          <c:idx val="0"/>
          <c:order val="0"/>
          <c:spPr>
            <a:solidFill>
              <a:srgbClr val="63AAFE"/>
            </a:solidFill>
            <a:ln w="12700">
              <a:solidFill>
                <a:srgbClr val="000000"/>
              </a:solidFill>
              <a:prstDash val="solid"/>
            </a:ln>
          </c:spPr>
          <c:cat>
            <c:strRef>
              <c:f>Sheet1!$A$2:$A$13</c:f>
              <c:strCache>
                <c:ptCount val="12"/>
                <c:pt idx="0">
                  <c:v>Jan</c:v>
                </c:pt>
                <c:pt idx="1">
                  <c:v>Feb</c:v>
                </c:pt>
                <c:pt idx="2">
                  <c:v>Mar</c:v>
                </c:pt>
                <c:pt idx="3">
                  <c:v>Apr</c:v>
                </c:pt>
                <c:pt idx="4">
                  <c:v>May</c:v>
                </c:pt>
                <c:pt idx="5">
                  <c:v>Jun</c:v>
                </c:pt>
                <c:pt idx="6">
                  <c:v>Jul</c:v>
                </c:pt>
                <c:pt idx="7">
                  <c:v>Aug</c:v>
                </c:pt>
                <c:pt idx="8">
                  <c:v>Sep</c:v>
                </c:pt>
                <c:pt idx="9">
                  <c:v>Oct </c:v>
                </c:pt>
                <c:pt idx="10">
                  <c:v>Nov</c:v>
                </c:pt>
                <c:pt idx="11">
                  <c:v>Dec</c:v>
                </c:pt>
              </c:strCache>
            </c:strRef>
          </c:cat>
          <c:val>
            <c:numRef>
              <c:f>Sheet1!$B$2:$B$13</c:f>
              <c:numCache>
                <c:formatCode>General</c:formatCode>
                <c:ptCount val="12"/>
                <c:pt idx="0">
                  <c:v>110.5</c:v>
                </c:pt>
                <c:pt idx="1">
                  <c:v>107.3</c:v>
                </c:pt>
                <c:pt idx="2">
                  <c:v>113.1</c:v>
                </c:pt>
                <c:pt idx="3">
                  <c:v>109.6</c:v>
                </c:pt>
                <c:pt idx="4">
                  <c:v>126.9</c:v>
                </c:pt>
                <c:pt idx="5">
                  <c:v>103.4</c:v>
                </c:pt>
                <c:pt idx="6">
                  <c:v>86.4</c:v>
                </c:pt>
                <c:pt idx="7">
                  <c:v>85.1</c:v>
                </c:pt>
                <c:pt idx="8">
                  <c:v>94.3</c:v>
                </c:pt>
                <c:pt idx="9">
                  <c:v>121.7</c:v>
                </c:pt>
                <c:pt idx="10">
                  <c:v>110.7</c:v>
                </c:pt>
                <c:pt idx="11">
                  <c:v>110.0</c:v>
                </c:pt>
              </c:numCache>
            </c:numRef>
          </c:val>
        </c:ser>
        <c:axId val="659313480"/>
        <c:axId val="610185800"/>
      </c:barChart>
      <c:catAx>
        <c:axId val="659313480"/>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610185800"/>
        <c:crosses val="autoZero"/>
        <c:auto val="1"/>
        <c:lblAlgn val="ctr"/>
        <c:lblOffset val="100"/>
        <c:tickLblSkip val="1"/>
        <c:tickMarkSkip val="1"/>
      </c:catAx>
      <c:valAx>
        <c:axId val="610185800"/>
        <c:scaling>
          <c:orientation val="minMax"/>
        </c:scaling>
        <c:axPos val="l"/>
        <c:majorGridlines>
          <c:spPr>
            <a:ln w="3175">
              <a:solidFill>
                <a:srgbClr val="000000"/>
              </a:solidFill>
              <a:prstDash val="solid"/>
            </a:ln>
          </c:spPr>
        </c:majorGridlines>
        <c:title>
          <c:tx>
            <c:rich>
              <a:bodyPr/>
              <a:lstStyle/>
              <a:p>
                <a:pPr algn="just">
                  <a:defRPr sz="825" b="1" i="0" u="none" strike="noStrike" baseline="0">
                    <a:solidFill>
                      <a:srgbClr val="000000"/>
                    </a:solidFill>
                    <a:latin typeface="Arial"/>
                    <a:ea typeface="Arial"/>
                    <a:cs typeface="Arial"/>
                  </a:defRPr>
                </a:pPr>
                <a:r>
                  <a:rPr lang="en-US"/>
                  <a:t>Cubic Feet /Second</a:t>
                </a:r>
              </a:p>
              <a:p>
                <a:pPr algn="just">
                  <a:defRPr sz="825" b="1" i="0" u="none" strike="noStrike" baseline="0">
                    <a:solidFill>
                      <a:srgbClr val="000000"/>
                    </a:solidFill>
                    <a:latin typeface="Arial"/>
                    <a:ea typeface="Arial"/>
                    <a:cs typeface="Arial"/>
                  </a:defRPr>
                </a:pPr>
                <a:r>
                  <a:rPr lang="en-US"/>
                  <a:t> </a:t>
                </a:r>
              </a:p>
            </c:rich>
          </c:tx>
          <c:layout>
            <c:manualLayout>
              <c:xMode val="edge"/>
              <c:yMode val="edge"/>
              <c:x val="0.00430389136140591"/>
              <c:y val="0.314249436757096"/>
            </c:manualLayout>
          </c:layout>
          <c:spPr>
            <a:noFill/>
            <a:ln w="25399">
              <a:noFill/>
            </a:ln>
          </c:spPr>
        </c:title>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659313480"/>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a:noFill/>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969899863538427"/>
          <c:y val="0.0778690082867898"/>
          <c:w val="0.884615565192807"/>
          <c:h val="0.790985189439496"/>
        </c:manualLayout>
      </c:layout>
      <c:barChart>
        <c:barDir val="col"/>
        <c:grouping val="clustered"/>
        <c:ser>
          <c:idx val="0"/>
          <c:order val="0"/>
          <c:tx>
            <c:v>Llano</c:v>
          </c:tx>
          <c:spPr>
            <a:solidFill>
              <a:srgbClr val="63AAFE"/>
            </a:solidFill>
            <a:ln w="12700">
              <a:solidFill>
                <a:srgbClr val="000000"/>
              </a:solidFill>
              <a:prstDash val="solid"/>
            </a:ln>
          </c:spPr>
          <c:cat>
            <c:strRef>
              <c:f>'[Chart in compare.doc]Sheet1'!$A$2:$A$13</c:f>
              <c:strCache>
                <c:ptCount val="12"/>
                <c:pt idx="0">
                  <c:v>Jan</c:v>
                </c:pt>
                <c:pt idx="1">
                  <c:v>Feb</c:v>
                </c:pt>
                <c:pt idx="2">
                  <c:v>Mar</c:v>
                </c:pt>
                <c:pt idx="3">
                  <c:v>Apr</c:v>
                </c:pt>
                <c:pt idx="4">
                  <c:v>May</c:v>
                </c:pt>
                <c:pt idx="5">
                  <c:v>Jun</c:v>
                </c:pt>
                <c:pt idx="6">
                  <c:v>Jul</c:v>
                </c:pt>
                <c:pt idx="7">
                  <c:v>Aug</c:v>
                </c:pt>
                <c:pt idx="8">
                  <c:v>Sep</c:v>
                </c:pt>
                <c:pt idx="9">
                  <c:v>Oct </c:v>
                </c:pt>
                <c:pt idx="10">
                  <c:v>Nov</c:v>
                </c:pt>
                <c:pt idx="11">
                  <c:v>Dec</c:v>
                </c:pt>
              </c:strCache>
            </c:strRef>
          </c:cat>
          <c:val>
            <c:numRef>
              <c:f>'[Chart in compare.doc]Sheet1'!$B$2:$B$13</c:f>
              <c:numCache>
                <c:formatCode>General</c:formatCode>
                <c:ptCount val="12"/>
                <c:pt idx="0">
                  <c:v>110.5</c:v>
                </c:pt>
                <c:pt idx="1">
                  <c:v>107.3</c:v>
                </c:pt>
                <c:pt idx="2">
                  <c:v>113.1</c:v>
                </c:pt>
                <c:pt idx="3">
                  <c:v>109.6</c:v>
                </c:pt>
                <c:pt idx="4">
                  <c:v>126.9</c:v>
                </c:pt>
                <c:pt idx="5">
                  <c:v>103.4</c:v>
                </c:pt>
                <c:pt idx="6">
                  <c:v>86.4</c:v>
                </c:pt>
                <c:pt idx="7">
                  <c:v>85.1</c:v>
                </c:pt>
                <c:pt idx="8">
                  <c:v>94.3</c:v>
                </c:pt>
                <c:pt idx="9">
                  <c:v>121.7</c:v>
                </c:pt>
                <c:pt idx="10">
                  <c:v>110.7</c:v>
                </c:pt>
                <c:pt idx="11">
                  <c:v>110.0</c:v>
                </c:pt>
              </c:numCache>
            </c:numRef>
          </c:val>
        </c:ser>
        <c:ser>
          <c:idx val="1"/>
          <c:order val="1"/>
          <c:tx>
            <c:v>N Llano</c:v>
          </c:tx>
          <c:cat>
            <c:strRef>
              <c:f>'[Chart in compare.doc]Sheet1'!$A$2:$A$13</c:f>
              <c:strCache>
                <c:ptCount val="12"/>
                <c:pt idx="0">
                  <c:v>Jan</c:v>
                </c:pt>
                <c:pt idx="1">
                  <c:v>Feb</c:v>
                </c:pt>
                <c:pt idx="2">
                  <c:v>Mar</c:v>
                </c:pt>
                <c:pt idx="3">
                  <c:v>Apr</c:v>
                </c:pt>
                <c:pt idx="4">
                  <c:v>May</c:v>
                </c:pt>
                <c:pt idx="5">
                  <c:v>Jun</c:v>
                </c:pt>
                <c:pt idx="6">
                  <c:v>Jul</c:v>
                </c:pt>
                <c:pt idx="7">
                  <c:v>Aug</c:v>
                </c:pt>
                <c:pt idx="8">
                  <c:v>Sep</c:v>
                </c:pt>
                <c:pt idx="9">
                  <c:v>Oct </c:v>
                </c:pt>
                <c:pt idx="10">
                  <c:v>Nov</c:v>
                </c:pt>
                <c:pt idx="11">
                  <c:v>Dec</c:v>
                </c:pt>
              </c:strCache>
            </c:strRef>
          </c:cat>
          <c:val>
            <c:numRef>
              <c:f>'[Chart in compare.doc]Sheet1'!$C$2:$C$13</c:f>
              <c:numCache>
                <c:formatCode>General</c:formatCode>
                <c:ptCount val="12"/>
                <c:pt idx="0">
                  <c:v>23.0</c:v>
                </c:pt>
                <c:pt idx="1">
                  <c:v>24.5</c:v>
                </c:pt>
                <c:pt idx="2">
                  <c:v>22.5</c:v>
                </c:pt>
                <c:pt idx="3">
                  <c:v>21.5</c:v>
                </c:pt>
                <c:pt idx="4">
                  <c:v>20.5</c:v>
                </c:pt>
                <c:pt idx="5">
                  <c:v>15.5</c:v>
                </c:pt>
                <c:pt idx="6">
                  <c:v>10.0</c:v>
                </c:pt>
                <c:pt idx="7">
                  <c:v>6.4</c:v>
                </c:pt>
                <c:pt idx="8">
                  <c:v>11.0</c:v>
                </c:pt>
                <c:pt idx="9">
                  <c:v>22.5</c:v>
                </c:pt>
                <c:pt idx="10">
                  <c:v>23.0</c:v>
                </c:pt>
                <c:pt idx="11">
                  <c:v>22.0</c:v>
                </c:pt>
              </c:numCache>
            </c:numRef>
          </c:val>
        </c:ser>
        <c:axId val="610129928"/>
        <c:axId val="610134072"/>
      </c:barChart>
      <c:catAx>
        <c:axId val="610129928"/>
        <c:scaling>
          <c:orientation val="minMax"/>
        </c:scaling>
        <c:axPos val="b"/>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610134072"/>
        <c:crosses val="autoZero"/>
        <c:auto val="1"/>
        <c:lblAlgn val="ctr"/>
        <c:lblOffset val="100"/>
        <c:tickLblSkip val="1"/>
        <c:tickMarkSkip val="1"/>
      </c:catAx>
      <c:valAx>
        <c:axId val="610134072"/>
        <c:scaling>
          <c:orientation val="minMax"/>
        </c:scaling>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Verdana"/>
                    <a:ea typeface="Verdana"/>
                    <a:cs typeface="Verdana"/>
                  </a:defRPr>
                </a:pPr>
                <a:r>
                  <a:rPr lang="en-US" sz="950" b="1" i="0" strike="noStrike">
                    <a:solidFill>
                      <a:srgbClr val="000000"/>
                    </a:solidFill>
                    <a:latin typeface="Arial"/>
                    <a:ea typeface="Arial"/>
                    <a:cs typeface="Arial"/>
                  </a:rPr>
                  <a:t>Cubic Feet /Second</a:t>
                </a:r>
              </a:p>
              <a:p>
                <a:pPr>
                  <a:defRPr sz="1000" b="0" i="0" u="none" strike="noStrike" baseline="0">
                    <a:solidFill>
                      <a:srgbClr val="000000"/>
                    </a:solidFill>
                    <a:latin typeface="Verdana"/>
                    <a:ea typeface="Verdana"/>
                    <a:cs typeface="Verdana"/>
                  </a:defRPr>
                </a:pPr>
                <a:r>
                  <a:rPr lang="en-US" sz="950" b="1" i="0" strike="noStrike">
                    <a:solidFill>
                      <a:srgbClr val="000000"/>
                    </a:solidFill>
                    <a:latin typeface="Arial"/>
                    <a:ea typeface="Arial"/>
                    <a:cs typeface="Arial"/>
                  </a:rPr>
                  <a:t> </a:t>
                </a:r>
              </a:p>
            </c:rich>
          </c:tx>
          <c:layout>
            <c:manualLayout>
              <c:xMode val="edge"/>
              <c:yMode val="edge"/>
              <c:x val="0.00668896321070234"/>
              <c:y val="0.282787530657028"/>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61012992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9525">
      <a:noFill/>
    </a:ln>
  </c:spPr>
  <c:txPr>
    <a:bodyPr/>
    <a:lstStyle/>
    <a:p>
      <a:pPr>
        <a:defRPr sz="950"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969899863538427"/>
          <c:y val="0.0778689202739717"/>
          <c:w val="0.768673589714329"/>
          <c:h val="0.755961002386056"/>
        </c:manualLayout>
      </c:layout>
      <c:barChart>
        <c:barDir val="col"/>
        <c:grouping val="clustered"/>
        <c:ser>
          <c:idx val="0"/>
          <c:order val="0"/>
          <c:tx>
            <c:v>Llano</c:v>
          </c:tx>
          <c:spPr>
            <a:solidFill>
              <a:srgbClr val="63AAFE"/>
            </a:solidFill>
            <a:ln w="12700">
              <a:solidFill>
                <a:srgbClr val="000000"/>
              </a:solidFill>
              <a:prstDash val="solid"/>
            </a:ln>
          </c:spPr>
          <c:cat>
            <c:strRef>
              <c:f>Sheet1!$A$2:$A$13</c:f>
              <c:strCache>
                <c:ptCount val="12"/>
                <c:pt idx="0">
                  <c:v>Jan</c:v>
                </c:pt>
                <c:pt idx="1">
                  <c:v>Feb</c:v>
                </c:pt>
                <c:pt idx="2">
                  <c:v>Mar</c:v>
                </c:pt>
                <c:pt idx="3">
                  <c:v>Apr</c:v>
                </c:pt>
                <c:pt idx="4">
                  <c:v>May</c:v>
                </c:pt>
                <c:pt idx="5">
                  <c:v>Jun</c:v>
                </c:pt>
                <c:pt idx="6">
                  <c:v>Jul</c:v>
                </c:pt>
                <c:pt idx="7">
                  <c:v>Aug</c:v>
                </c:pt>
                <c:pt idx="8">
                  <c:v>Sep</c:v>
                </c:pt>
                <c:pt idx="9">
                  <c:v>Oct </c:v>
                </c:pt>
                <c:pt idx="10">
                  <c:v>Nov</c:v>
                </c:pt>
                <c:pt idx="11">
                  <c:v>Dec</c:v>
                </c:pt>
              </c:strCache>
            </c:strRef>
          </c:cat>
          <c:val>
            <c:numRef>
              <c:f>Sheet1!$B$2:$B$13</c:f>
              <c:numCache>
                <c:formatCode>General</c:formatCode>
                <c:ptCount val="12"/>
                <c:pt idx="0">
                  <c:v>91.0</c:v>
                </c:pt>
                <c:pt idx="1">
                  <c:v>91.5</c:v>
                </c:pt>
                <c:pt idx="2">
                  <c:v>85.5</c:v>
                </c:pt>
                <c:pt idx="3">
                  <c:v>88.5</c:v>
                </c:pt>
                <c:pt idx="4">
                  <c:v>106.0</c:v>
                </c:pt>
                <c:pt idx="5">
                  <c:v>84.25</c:v>
                </c:pt>
                <c:pt idx="6">
                  <c:v>73.0</c:v>
                </c:pt>
                <c:pt idx="7">
                  <c:v>62.5</c:v>
                </c:pt>
                <c:pt idx="8">
                  <c:v>71.5</c:v>
                </c:pt>
                <c:pt idx="9">
                  <c:v>97.5</c:v>
                </c:pt>
                <c:pt idx="10">
                  <c:v>93.0</c:v>
                </c:pt>
                <c:pt idx="11">
                  <c:v>89.0</c:v>
                </c:pt>
              </c:numCache>
            </c:numRef>
          </c:val>
        </c:ser>
        <c:ser>
          <c:idx val="1"/>
          <c:order val="1"/>
          <c:tx>
            <c:v>N Llano</c:v>
          </c:tx>
          <c:cat>
            <c:strRef>
              <c:f>Sheet1!$A$2:$A$13</c:f>
              <c:strCache>
                <c:ptCount val="12"/>
                <c:pt idx="0">
                  <c:v>Jan</c:v>
                </c:pt>
                <c:pt idx="1">
                  <c:v>Feb</c:v>
                </c:pt>
                <c:pt idx="2">
                  <c:v>Mar</c:v>
                </c:pt>
                <c:pt idx="3">
                  <c:v>Apr</c:v>
                </c:pt>
                <c:pt idx="4">
                  <c:v>May</c:v>
                </c:pt>
                <c:pt idx="5">
                  <c:v>Jun</c:v>
                </c:pt>
                <c:pt idx="6">
                  <c:v>Jul</c:v>
                </c:pt>
                <c:pt idx="7">
                  <c:v>Aug</c:v>
                </c:pt>
                <c:pt idx="8">
                  <c:v>Sep</c:v>
                </c:pt>
                <c:pt idx="9">
                  <c:v>Oct </c:v>
                </c:pt>
                <c:pt idx="10">
                  <c:v>Nov</c:v>
                </c:pt>
                <c:pt idx="11">
                  <c:v>Dec</c:v>
                </c:pt>
              </c:strCache>
            </c:strRef>
          </c:cat>
          <c:val>
            <c:numRef>
              <c:f>Sheet1!$C$2:$C$13</c:f>
              <c:numCache>
                <c:formatCode>General</c:formatCode>
                <c:ptCount val="12"/>
                <c:pt idx="0">
                  <c:v>23.0</c:v>
                </c:pt>
                <c:pt idx="1">
                  <c:v>24.5</c:v>
                </c:pt>
                <c:pt idx="2">
                  <c:v>22.5</c:v>
                </c:pt>
                <c:pt idx="3">
                  <c:v>21.5</c:v>
                </c:pt>
                <c:pt idx="4">
                  <c:v>20.5</c:v>
                </c:pt>
                <c:pt idx="5">
                  <c:v>15.5</c:v>
                </c:pt>
                <c:pt idx="6">
                  <c:v>10.0</c:v>
                </c:pt>
                <c:pt idx="7">
                  <c:v>6.4</c:v>
                </c:pt>
                <c:pt idx="8">
                  <c:v>11.0</c:v>
                </c:pt>
                <c:pt idx="9">
                  <c:v>22.5</c:v>
                </c:pt>
                <c:pt idx="10">
                  <c:v>23.0</c:v>
                </c:pt>
                <c:pt idx="11">
                  <c:v>22.0</c:v>
                </c:pt>
              </c:numCache>
            </c:numRef>
          </c:val>
        </c:ser>
        <c:axId val="609780040"/>
        <c:axId val="610164184"/>
      </c:barChart>
      <c:catAx>
        <c:axId val="609780040"/>
        <c:scaling>
          <c:orientation val="minMax"/>
        </c:scaling>
        <c:axPos val="b"/>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610164184"/>
        <c:crosses val="autoZero"/>
        <c:auto val="1"/>
        <c:lblAlgn val="ctr"/>
        <c:lblOffset val="100"/>
        <c:tickLblSkip val="1"/>
        <c:tickMarkSkip val="1"/>
      </c:catAx>
      <c:valAx>
        <c:axId val="610164184"/>
        <c:scaling>
          <c:orientation val="minMax"/>
        </c:scaling>
        <c:axPos val="l"/>
        <c:majorGridlines>
          <c:spPr>
            <a:ln w="3175">
              <a:solidFill>
                <a:srgbClr val="000000"/>
              </a:solidFill>
              <a:prstDash val="solid"/>
            </a:ln>
          </c:spPr>
        </c:majorGridlines>
        <c:title>
          <c:tx>
            <c:rich>
              <a:bodyPr/>
              <a:lstStyle/>
              <a:p>
                <a:pPr algn="just">
                  <a:defRPr sz="950" b="1" i="0" u="none" strike="noStrike" baseline="0">
                    <a:solidFill>
                      <a:srgbClr val="000000"/>
                    </a:solidFill>
                    <a:latin typeface="Arial"/>
                    <a:ea typeface="Arial"/>
                    <a:cs typeface="Arial"/>
                  </a:defRPr>
                </a:pPr>
                <a:r>
                  <a:rPr lang="en-US"/>
                  <a:t>Cubic Feet /Second</a:t>
                </a:r>
              </a:p>
              <a:p>
                <a:pPr algn="just">
                  <a:defRPr sz="950" b="1" i="0" u="none" strike="noStrike" baseline="0">
                    <a:solidFill>
                      <a:srgbClr val="000000"/>
                    </a:solidFill>
                    <a:latin typeface="Arial"/>
                    <a:ea typeface="Arial"/>
                    <a:cs typeface="Arial"/>
                  </a:defRPr>
                </a:pPr>
                <a:r>
                  <a:rPr lang="en-US"/>
                  <a:t> </a:t>
                </a:r>
              </a:p>
            </c:rich>
          </c:tx>
          <c:layout>
            <c:manualLayout>
              <c:xMode val="edge"/>
              <c:yMode val="edge"/>
              <c:x val="0.0112447760658619"/>
              <c:y val="0.149945935156182"/>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609780040"/>
        <c:crosses val="autoZero"/>
        <c:crossBetween val="between"/>
      </c:valAx>
      <c:spPr>
        <a:solidFill>
          <a:srgbClr val="C0C0C0"/>
        </a:solidFill>
        <a:ln w="12700">
          <a:solidFill>
            <a:srgbClr val="808080"/>
          </a:solidFill>
          <a:prstDash val="solid"/>
        </a:ln>
      </c:spPr>
    </c:plotArea>
    <c:legend>
      <c:legendPos val="r"/>
      <c:layout>
        <c:manualLayout>
          <c:xMode val="edge"/>
          <c:yMode val="edge"/>
          <c:x val="0.887132172259789"/>
          <c:y val="0.436325299078174"/>
          <c:w val="0.112867827740211"/>
          <c:h val="0.152343288631946"/>
        </c:manualLayout>
      </c:layout>
    </c:legend>
    <c:plotVisOnly val="1"/>
    <c:dispBlanksAs val="gap"/>
  </c:chart>
  <c:spPr>
    <a:solidFill>
      <a:srgbClr val="FFFFFF"/>
    </a:solidFill>
    <a:ln w="9525">
      <a:noFill/>
    </a:ln>
  </c:spPr>
  <c:txPr>
    <a:bodyPr/>
    <a:lstStyle/>
    <a:p>
      <a:pPr>
        <a:defRPr sz="950" b="1"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lineChart>
        <c:grouping val="standard"/>
        <c:ser>
          <c:idx val="0"/>
          <c:order val="0"/>
          <c:tx>
            <c:strRef>
              <c:f>Sheet3!$B$1</c:f>
              <c:strCache>
                <c:ptCount val="1"/>
                <c:pt idx="0">
                  <c:v>Monitor Well</c:v>
                </c:pt>
              </c:strCache>
            </c:strRef>
          </c:tx>
          <c:spPr>
            <a:ln>
              <a:noFill/>
            </a:ln>
          </c:spPr>
          <c:marker>
            <c:symbol val="triangle"/>
            <c:size val="3"/>
          </c:marker>
          <c:cat>
            <c:numRef>
              <c:f>Sheet3!$A$2:$A$952</c:f>
              <c:numCache>
                <c:formatCode>m/d/yy</c:formatCode>
                <c:ptCount val="951"/>
                <c:pt idx="0">
                  <c:v>38534.0</c:v>
                </c:pt>
                <c:pt idx="1">
                  <c:v>38535.0</c:v>
                </c:pt>
                <c:pt idx="2">
                  <c:v>38536.0</c:v>
                </c:pt>
                <c:pt idx="3">
                  <c:v>38537.0</c:v>
                </c:pt>
                <c:pt idx="4">
                  <c:v>38538.0</c:v>
                </c:pt>
                <c:pt idx="5">
                  <c:v>38539.0</c:v>
                </c:pt>
                <c:pt idx="6">
                  <c:v>38540.0</c:v>
                </c:pt>
                <c:pt idx="7">
                  <c:v>38541.0</c:v>
                </c:pt>
                <c:pt idx="8">
                  <c:v>38542.0</c:v>
                </c:pt>
                <c:pt idx="9">
                  <c:v>38543.0</c:v>
                </c:pt>
                <c:pt idx="10">
                  <c:v>38544.0</c:v>
                </c:pt>
                <c:pt idx="11">
                  <c:v>38545.0</c:v>
                </c:pt>
                <c:pt idx="12">
                  <c:v>38546.0</c:v>
                </c:pt>
                <c:pt idx="13">
                  <c:v>38547.0</c:v>
                </c:pt>
                <c:pt idx="14">
                  <c:v>38548.0</c:v>
                </c:pt>
                <c:pt idx="15">
                  <c:v>38549.0</c:v>
                </c:pt>
                <c:pt idx="16">
                  <c:v>38550.0</c:v>
                </c:pt>
                <c:pt idx="17">
                  <c:v>38551.0</c:v>
                </c:pt>
                <c:pt idx="18">
                  <c:v>38552.0</c:v>
                </c:pt>
                <c:pt idx="19">
                  <c:v>38553.0</c:v>
                </c:pt>
                <c:pt idx="20">
                  <c:v>38554.0</c:v>
                </c:pt>
                <c:pt idx="21">
                  <c:v>38555.0</c:v>
                </c:pt>
                <c:pt idx="22">
                  <c:v>38556.0</c:v>
                </c:pt>
                <c:pt idx="23">
                  <c:v>38557.0</c:v>
                </c:pt>
                <c:pt idx="24">
                  <c:v>38558.0</c:v>
                </c:pt>
                <c:pt idx="25">
                  <c:v>38559.0</c:v>
                </c:pt>
                <c:pt idx="26">
                  <c:v>38560.0</c:v>
                </c:pt>
                <c:pt idx="27">
                  <c:v>38561.0</c:v>
                </c:pt>
                <c:pt idx="28">
                  <c:v>38562.0</c:v>
                </c:pt>
                <c:pt idx="29">
                  <c:v>38563.0</c:v>
                </c:pt>
                <c:pt idx="30">
                  <c:v>38564.0</c:v>
                </c:pt>
                <c:pt idx="31">
                  <c:v>38565.0</c:v>
                </c:pt>
                <c:pt idx="32">
                  <c:v>38566.0</c:v>
                </c:pt>
                <c:pt idx="33">
                  <c:v>38567.0</c:v>
                </c:pt>
                <c:pt idx="34">
                  <c:v>38568.0</c:v>
                </c:pt>
                <c:pt idx="35">
                  <c:v>38569.0</c:v>
                </c:pt>
                <c:pt idx="36">
                  <c:v>38570.0</c:v>
                </c:pt>
                <c:pt idx="37">
                  <c:v>38571.0</c:v>
                </c:pt>
                <c:pt idx="38">
                  <c:v>38572.0</c:v>
                </c:pt>
                <c:pt idx="39">
                  <c:v>38573.0</c:v>
                </c:pt>
                <c:pt idx="40">
                  <c:v>38574.0</c:v>
                </c:pt>
                <c:pt idx="41">
                  <c:v>38575.0</c:v>
                </c:pt>
                <c:pt idx="42">
                  <c:v>38577.0</c:v>
                </c:pt>
                <c:pt idx="43">
                  <c:v>38578.0</c:v>
                </c:pt>
                <c:pt idx="44">
                  <c:v>38579.0</c:v>
                </c:pt>
                <c:pt idx="45">
                  <c:v>38580.0</c:v>
                </c:pt>
                <c:pt idx="46">
                  <c:v>38581.0</c:v>
                </c:pt>
                <c:pt idx="47">
                  <c:v>38582.0</c:v>
                </c:pt>
                <c:pt idx="48">
                  <c:v>38583.0</c:v>
                </c:pt>
                <c:pt idx="49">
                  <c:v>38584.0</c:v>
                </c:pt>
                <c:pt idx="50">
                  <c:v>38585.0</c:v>
                </c:pt>
                <c:pt idx="51">
                  <c:v>38586.0</c:v>
                </c:pt>
                <c:pt idx="52">
                  <c:v>38587.0</c:v>
                </c:pt>
                <c:pt idx="53">
                  <c:v>38588.0</c:v>
                </c:pt>
                <c:pt idx="54">
                  <c:v>38589.0</c:v>
                </c:pt>
                <c:pt idx="55">
                  <c:v>38590.0</c:v>
                </c:pt>
                <c:pt idx="56">
                  <c:v>38591.0</c:v>
                </c:pt>
                <c:pt idx="57">
                  <c:v>38592.0</c:v>
                </c:pt>
                <c:pt idx="58">
                  <c:v>38593.0</c:v>
                </c:pt>
                <c:pt idx="59">
                  <c:v>38594.0</c:v>
                </c:pt>
                <c:pt idx="60">
                  <c:v>38595.0</c:v>
                </c:pt>
                <c:pt idx="61">
                  <c:v>38596.0</c:v>
                </c:pt>
                <c:pt idx="62">
                  <c:v>38597.0</c:v>
                </c:pt>
                <c:pt idx="63">
                  <c:v>38598.0</c:v>
                </c:pt>
                <c:pt idx="64">
                  <c:v>38599.0</c:v>
                </c:pt>
                <c:pt idx="65">
                  <c:v>38600.0</c:v>
                </c:pt>
                <c:pt idx="66">
                  <c:v>38601.0</c:v>
                </c:pt>
                <c:pt idx="67">
                  <c:v>38602.0</c:v>
                </c:pt>
                <c:pt idx="68">
                  <c:v>38603.0</c:v>
                </c:pt>
                <c:pt idx="69">
                  <c:v>38604.0</c:v>
                </c:pt>
                <c:pt idx="70">
                  <c:v>38605.0</c:v>
                </c:pt>
                <c:pt idx="71">
                  <c:v>38606.0</c:v>
                </c:pt>
                <c:pt idx="72">
                  <c:v>38607.0</c:v>
                </c:pt>
                <c:pt idx="73">
                  <c:v>38608.0</c:v>
                </c:pt>
                <c:pt idx="74">
                  <c:v>38609.0</c:v>
                </c:pt>
                <c:pt idx="75">
                  <c:v>38610.0</c:v>
                </c:pt>
                <c:pt idx="76">
                  <c:v>38611.0</c:v>
                </c:pt>
                <c:pt idx="77">
                  <c:v>38612.0</c:v>
                </c:pt>
                <c:pt idx="78">
                  <c:v>38613.0</c:v>
                </c:pt>
                <c:pt idx="79">
                  <c:v>38614.0</c:v>
                </c:pt>
                <c:pt idx="80">
                  <c:v>38615.0</c:v>
                </c:pt>
                <c:pt idx="81">
                  <c:v>38616.0</c:v>
                </c:pt>
                <c:pt idx="82">
                  <c:v>38617.0</c:v>
                </c:pt>
                <c:pt idx="83">
                  <c:v>38618.0</c:v>
                </c:pt>
                <c:pt idx="84">
                  <c:v>38619.0</c:v>
                </c:pt>
                <c:pt idx="85">
                  <c:v>38620.0</c:v>
                </c:pt>
                <c:pt idx="86">
                  <c:v>38621.0</c:v>
                </c:pt>
                <c:pt idx="87">
                  <c:v>38622.0</c:v>
                </c:pt>
                <c:pt idx="88">
                  <c:v>38623.0</c:v>
                </c:pt>
                <c:pt idx="89">
                  <c:v>38624.0</c:v>
                </c:pt>
                <c:pt idx="90">
                  <c:v>38625.0</c:v>
                </c:pt>
                <c:pt idx="91">
                  <c:v>38626.0</c:v>
                </c:pt>
                <c:pt idx="92">
                  <c:v>38627.0</c:v>
                </c:pt>
                <c:pt idx="93">
                  <c:v>38628.0</c:v>
                </c:pt>
                <c:pt idx="94">
                  <c:v>38629.0</c:v>
                </c:pt>
                <c:pt idx="95">
                  <c:v>38630.0</c:v>
                </c:pt>
                <c:pt idx="96">
                  <c:v>38631.0</c:v>
                </c:pt>
                <c:pt idx="97">
                  <c:v>38632.0</c:v>
                </c:pt>
                <c:pt idx="98">
                  <c:v>38633.0</c:v>
                </c:pt>
                <c:pt idx="99">
                  <c:v>38634.0</c:v>
                </c:pt>
                <c:pt idx="100">
                  <c:v>38635.0</c:v>
                </c:pt>
                <c:pt idx="101">
                  <c:v>38636.0</c:v>
                </c:pt>
                <c:pt idx="102">
                  <c:v>38637.0</c:v>
                </c:pt>
                <c:pt idx="103">
                  <c:v>38638.0</c:v>
                </c:pt>
                <c:pt idx="104">
                  <c:v>38639.0</c:v>
                </c:pt>
                <c:pt idx="105">
                  <c:v>38640.0</c:v>
                </c:pt>
                <c:pt idx="106">
                  <c:v>38641.0</c:v>
                </c:pt>
                <c:pt idx="107">
                  <c:v>38642.0</c:v>
                </c:pt>
                <c:pt idx="108">
                  <c:v>38643.0</c:v>
                </c:pt>
                <c:pt idx="109">
                  <c:v>38644.0</c:v>
                </c:pt>
                <c:pt idx="110">
                  <c:v>38645.0</c:v>
                </c:pt>
                <c:pt idx="111">
                  <c:v>38646.0</c:v>
                </c:pt>
                <c:pt idx="112">
                  <c:v>38647.0</c:v>
                </c:pt>
                <c:pt idx="113">
                  <c:v>38648.0</c:v>
                </c:pt>
                <c:pt idx="114">
                  <c:v>38649.0</c:v>
                </c:pt>
                <c:pt idx="115">
                  <c:v>38650.0</c:v>
                </c:pt>
                <c:pt idx="116">
                  <c:v>38651.0</c:v>
                </c:pt>
                <c:pt idx="117">
                  <c:v>38652.0</c:v>
                </c:pt>
                <c:pt idx="118">
                  <c:v>38653.0</c:v>
                </c:pt>
                <c:pt idx="119">
                  <c:v>38654.0</c:v>
                </c:pt>
                <c:pt idx="120">
                  <c:v>38655.0</c:v>
                </c:pt>
                <c:pt idx="121">
                  <c:v>38656.0</c:v>
                </c:pt>
                <c:pt idx="122">
                  <c:v>38657.0</c:v>
                </c:pt>
                <c:pt idx="123">
                  <c:v>38658.0</c:v>
                </c:pt>
                <c:pt idx="124">
                  <c:v>38659.0</c:v>
                </c:pt>
                <c:pt idx="125">
                  <c:v>38660.0</c:v>
                </c:pt>
                <c:pt idx="126">
                  <c:v>38661.0</c:v>
                </c:pt>
                <c:pt idx="127">
                  <c:v>38662.0</c:v>
                </c:pt>
                <c:pt idx="128">
                  <c:v>38663.0</c:v>
                </c:pt>
                <c:pt idx="129">
                  <c:v>38664.0</c:v>
                </c:pt>
                <c:pt idx="130">
                  <c:v>38665.0</c:v>
                </c:pt>
                <c:pt idx="131">
                  <c:v>38666.0</c:v>
                </c:pt>
                <c:pt idx="132">
                  <c:v>38667.0</c:v>
                </c:pt>
                <c:pt idx="133">
                  <c:v>38668.0</c:v>
                </c:pt>
                <c:pt idx="134">
                  <c:v>38669.0</c:v>
                </c:pt>
                <c:pt idx="135">
                  <c:v>38670.0</c:v>
                </c:pt>
                <c:pt idx="136">
                  <c:v>38671.0</c:v>
                </c:pt>
                <c:pt idx="137">
                  <c:v>38672.0</c:v>
                </c:pt>
                <c:pt idx="138">
                  <c:v>38673.0</c:v>
                </c:pt>
                <c:pt idx="139">
                  <c:v>38674.0</c:v>
                </c:pt>
                <c:pt idx="140">
                  <c:v>38675.0</c:v>
                </c:pt>
                <c:pt idx="141">
                  <c:v>38676.0</c:v>
                </c:pt>
                <c:pt idx="142">
                  <c:v>38677.0</c:v>
                </c:pt>
                <c:pt idx="143">
                  <c:v>38678.0</c:v>
                </c:pt>
                <c:pt idx="144">
                  <c:v>38679.0</c:v>
                </c:pt>
                <c:pt idx="145">
                  <c:v>38680.0</c:v>
                </c:pt>
                <c:pt idx="146">
                  <c:v>38681.0</c:v>
                </c:pt>
                <c:pt idx="147">
                  <c:v>38682.0</c:v>
                </c:pt>
                <c:pt idx="148">
                  <c:v>38683.0</c:v>
                </c:pt>
                <c:pt idx="149">
                  <c:v>38684.0</c:v>
                </c:pt>
                <c:pt idx="150">
                  <c:v>38685.0</c:v>
                </c:pt>
                <c:pt idx="151">
                  <c:v>38686.0</c:v>
                </c:pt>
                <c:pt idx="152">
                  <c:v>38687.0</c:v>
                </c:pt>
                <c:pt idx="153">
                  <c:v>38688.0</c:v>
                </c:pt>
                <c:pt idx="154">
                  <c:v>38689.0</c:v>
                </c:pt>
                <c:pt idx="155">
                  <c:v>38690.0</c:v>
                </c:pt>
                <c:pt idx="156">
                  <c:v>38691.0</c:v>
                </c:pt>
                <c:pt idx="157">
                  <c:v>38692.0</c:v>
                </c:pt>
                <c:pt idx="158">
                  <c:v>38693.0</c:v>
                </c:pt>
                <c:pt idx="159">
                  <c:v>38694.0</c:v>
                </c:pt>
                <c:pt idx="160">
                  <c:v>38695.0</c:v>
                </c:pt>
                <c:pt idx="161">
                  <c:v>38696.0</c:v>
                </c:pt>
                <c:pt idx="162">
                  <c:v>38697.0</c:v>
                </c:pt>
                <c:pt idx="163">
                  <c:v>38698.0</c:v>
                </c:pt>
                <c:pt idx="164">
                  <c:v>38699.0</c:v>
                </c:pt>
                <c:pt idx="165">
                  <c:v>38700.0</c:v>
                </c:pt>
                <c:pt idx="166">
                  <c:v>38701.0</c:v>
                </c:pt>
                <c:pt idx="167">
                  <c:v>38702.0</c:v>
                </c:pt>
                <c:pt idx="168">
                  <c:v>38703.0</c:v>
                </c:pt>
                <c:pt idx="169">
                  <c:v>38704.0</c:v>
                </c:pt>
                <c:pt idx="170">
                  <c:v>38705.0</c:v>
                </c:pt>
                <c:pt idx="171">
                  <c:v>38706.0</c:v>
                </c:pt>
                <c:pt idx="172">
                  <c:v>38707.0</c:v>
                </c:pt>
                <c:pt idx="173">
                  <c:v>38708.0</c:v>
                </c:pt>
                <c:pt idx="174">
                  <c:v>38709.0</c:v>
                </c:pt>
                <c:pt idx="175">
                  <c:v>38710.0</c:v>
                </c:pt>
                <c:pt idx="176">
                  <c:v>38711.0</c:v>
                </c:pt>
                <c:pt idx="177">
                  <c:v>38712.0</c:v>
                </c:pt>
                <c:pt idx="178">
                  <c:v>38713.0</c:v>
                </c:pt>
                <c:pt idx="179">
                  <c:v>38714.0</c:v>
                </c:pt>
                <c:pt idx="180">
                  <c:v>38715.0</c:v>
                </c:pt>
                <c:pt idx="181">
                  <c:v>38716.0</c:v>
                </c:pt>
                <c:pt idx="182">
                  <c:v>38717.0</c:v>
                </c:pt>
                <c:pt idx="183">
                  <c:v>38718.0</c:v>
                </c:pt>
                <c:pt idx="184">
                  <c:v>38719.0</c:v>
                </c:pt>
                <c:pt idx="185">
                  <c:v>38720.0</c:v>
                </c:pt>
                <c:pt idx="186">
                  <c:v>38721.0</c:v>
                </c:pt>
                <c:pt idx="187">
                  <c:v>38722.0</c:v>
                </c:pt>
                <c:pt idx="188">
                  <c:v>38723.0</c:v>
                </c:pt>
                <c:pt idx="189">
                  <c:v>38724.0</c:v>
                </c:pt>
                <c:pt idx="190">
                  <c:v>38725.0</c:v>
                </c:pt>
                <c:pt idx="191">
                  <c:v>38726.0</c:v>
                </c:pt>
                <c:pt idx="192">
                  <c:v>38727.0</c:v>
                </c:pt>
                <c:pt idx="193">
                  <c:v>38728.0</c:v>
                </c:pt>
                <c:pt idx="194">
                  <c:v>38729.0</c:v>
                </c:pt>
                <c:pt idx="195">
                  <c:v>38730.0</c:v>
                </c:pt>
                <c:pt idx="196">
                  <c:v>38731.0</c:v>
                </c:pt>
                <c:pt idx="197">
                  <c:v>38732.0</c:v>
                </c:pt>
                <c:pt idx="198">
                  <c:v>38733.0</c:v>
                </c:pt>
                <c:pt idx="199">
                  <c:v>38734.0</c:v>
                </c:pt>
                <c:pt idx="200">
                  <c:v>38735.0</c:v>
                </c:pt>
                <c:pt idx="201">
                  <c:v>38736.0</c:v>
                </c:pt>
                <c:pt idx="202">
                  <c:v>38737.0</c:v>
                </c:pt>
                <c:pt idx="203">
                  <c:v>38738.0</c:v>
                </c:pt>
                <c:pt idx="204">
                  <c:v>38739.0</c:v>
                </c:pt>
                <c:pt idx="205">
                  <c:v>38740.0</c:v>
                </c:pt>
                <c:pt idx="206">
                  <c:v>38741.0</c:v>
                </c:pt>
                <c:pt idx="207">
                  <c:v>38742.0</c:v>
                </c:pt>
                <c:pt idx="208">
                  <c:v>38743.0</c:v>
                </c:pt>
                <c:pt idx="209">
                  <c:v>38744.0</c:v>
                </c:pt>
                <c:pt idx="210">
                  <c:v>38745.0</c:v>
                </c:pt>
                <c:pt idx="211">
                  <c:v>38746.0</c:v>
                </c:pt>
                <c:pt idx="212">
                  <c:v>38747.0</c:v>
                </c:pt>
                <c:pt idx="213">
                  <c:v>38748.0</c:v>
                </c:pt>
                <c:pt idx="214">
                  <c:v>38749.0</c:v>
                </c:pt>
                <c:pt idx="215">
                  <c:v>38750.0</c:v>
                </c:pt>
                <c:pt idx="216">
                  <c:v>38751.0</c:v>
                </c:pt>
                <c:pt idx="217">
                  <c:v>38752.0</c:v>
                </c:pt>
                <c:pt idx="218">
                  <c:v>38753.0</c:v>
                </c:pt>
                <c:pt idx="219">
                  <c:v>38754.0</c:v>
                </c:pt>
                <c:pt idx="220">
                  <c:v>38755.0</c:v>
                </c:pt>
                <c:pt idx="221">
                  <c:v>38756.0</c:v>
                </c:pt>
                <c:pt idx="222">
                  <c:v>38757.0</c:v>
                </c:pt>
                <c:pt idx="223">
                  <c:v>38758.0</c:v>
                </c:pt>
                <c:pt idx="224">
                  <c:v>38759.0</c:v>
                </c:pt>
                <c:pt idx="225">
                  <c:v>38760.0</c:v>
                </c:pt>
                <c:pt idx="226">
                  <c:v>38761.0</c:v>
                </c:pt>
                <c:pt idx="227">
                  <c:v>38762.0</c:v>
                </c:pt>
                <c:pt idx="228">
                  <c:v>38763.0</c:v>
                </c:pt>
                <c:pt idx="229">
                  <c:v>38764.0</c:v>
                </c:pt>
                <c:pt idx="230">
                  <c:v>38765.0</c:v>
                </c:pt>
                <c:pt idx="231">
                  <c:v>38766.0</c:v>
                </c:pt>
                <c:pt idx="232">
                  <c:v>38767.0</c:v>
                </c:pt>
                <c:pt idx="233">
                  <c:v>38768.0</c:v>
                </c:pt>
                <c:pt idx="234">
                  <c:v>38769.0</c:v>
                </c:pt>
                <c:pt idx="235">
                  <c:v>38770.0</c:v>
                </c:pt>
                <c:pt idx="236">
                  <c:v>38771.0</c:v>
                </c:pt>
                <c:pt idx="237">
                  <c:v>38772.0</c:v>
                </c:pt>
                <c:pt idx="238">
                  <c:v>38773.0</c:v>
                </c:pt>
                <c:pt idx="239">
                  <c:v>38774.0</c:v>
                </c:pt>
                <c:pt idx="240">
                  <c:v>38775.0</c:v>
                </c:pt>
                <c:pt idx="241">
                  <c:v>38776.0</c:v>
                </c:pt>
                <c:pt idx="242">
                  <c:v>38777.0</c:v>
                </c:pt>
                <c:pt idx="243">
                  <c:v>38778.0</c:v>
                </c:pt>
                <c:pt idx="244">
                  <c:v>38779.0</c:v>
                </c:pt>
                <c:pt idx="245">
                  <c:v>38780.0</c:v>
                </c:pt>
                <c:pt idx="246">
                  <c:v>38781.0</c:v>
                </c:pt>
                <c:pt idx="247">
                  <c:v>38782.0</c:v>
                </c:pt>
                <c:pt idx="248">
                  <c:v>38783.0</c:v>
                </c:pt>
                <c:pt idx="249">
                  <c:v>38784.0</c:v>
                </c:pt>
                <c:pt idx="250">
                  <c:v>38785.0</c:v>
                </c:pt>
                <c:pt idx="251">
                  <c:v>38786.0</c:v>
                </c:pt>
                <c:pt idx="252">
                  <c:v>38787.0</c:v>
                </c:pt>
                <c:pt idx="253">
                  <c:v>38788.0</c:v>
                </c:pt>
                <c:pt idx="254">
                  <c:v>38789.0</c:v>
                </c:pt>
                <c:pt idx="255">
                  <c:v>38790.0</c:v>
                </c:pt>
                <c:pt idx="256">
                  <c:v>38791.0</c:v>
                </c:pt>
                <c:pt idx="257">
                  <c:v>38792.0</c:v>
                </c:pt>
                <c:pt idx="258">
                  <c:v>38793.0</c:v>
                </c:pt>
                <c:pt idx="259">
                  <c:v>38794.0</c:v>
                </c:pt>
                <c:pt idx="260">
                  <c:v>38795.0</c:v>
                </c:pt>
                <c:pt idx="261">
                  <c:v>38796.0</c:v>
                </c:pt>
                <c:pt idx="262">
                  <c:v>38797.0</c:v>
                </c:pt>
                <c:pt idx="263">
                  <c:v>38799.0</c:v>
                </c:pt>
                <c:pt idx="264">
                  <c:v>38800.0</c:v>
                </c:pt>
                <c:pt idx="265">
                  <c:v>38801.0</c:v>
                </c:pt>
                <c:pt idx="266">
                  <c:v>38802.0</c:v>
                </c:pt>
                <c:pt idx="267">
                  <c:v>38803.0</c:v>
                </c:pt>
                <c:pt idx="268">
                  <c:v>38804.0</c:v>
                </c:pt>
                <c:pt idx="269">
                  <c:v>38805.0</c:v>
                </c:pt>
                <c:pt idx="270">
                  <c:v>38806.0</c:v>
                </c:pt>
                <c:pt idx="271">
                  <c:v>38807.0</c:v>
                </c:pt>
                <c:pt idx="272">
                  <c:v>38808.0</c:v>
                </c:pt>
                <c:pt idx="273">
                  <c:v>38809.0</c:v>
                </c:pt>
                <c:pt idx="274">
                  <c:v>38810.0</c:v>
                </c:pt>
                <c:pt idx="275">
                  <c:v>38811.0</c:v>
                </c:pt>
                <c:pt idx="276">
                  <c:v>38812.0</c:v>
                </c:pt>
                <c:pt idx="277">
                  <c:v>38813.0</c:v>
                </c:pt>
                <c:pt idx="278">
                  <c:v>38814.0</c:v>
                </c:pt>
                <c:pt idx="279">
                  <c:v>38815.0</c:v>
                </c:pt>
                <c:pt idx="280">
                  <c:v>38816.0</c:v>
                </c:pt>
                <c:pt idx="281">
                  <c:v>38817.0</c:v>
                </c:pt>
                <c:pt idx="282">
                  <c:v>38818.0</c:v>
                </c:pt>
                <c:pt idx="283">
                  <c:v>38819.0</c:v>
                </c:pt>
                <c:pt idx="284">
                  <c:v>38820.0</c:v>
                </c:pt>
                <c:pt idx="285">
                  <c:v>38821.0</c:v>
                </c:pt>
                <c:pt idx="286">
                  <c:v>38822.0</c:v>
                </c:pt>
                <c:pt idx="287">
                  <c:v>38823.0</c:v>
                </c:pt>
                <c:pt idx="288">
                  <c:v>38824.0</c:v>
                </c:pt>
                <c:pt idx="289">
                  <c:v>38825.0</c:v>
                </c:pt>
                <c:pt idx="290">
                  <c:v>38826.0</c:v>
                </c:pt>
                <c:pt idx="291">
                  <c:v>38827.0</c:v>
                </c:pt>
                <c:pt idx="292">
                  <c:v>38828.0</c:v>
                </c:pt>
                <c:pt idx="293">
                  <c:v>38829.0</c:v>
                </c:pt>
                <c:pt idx="294">
                  <c:v>38830.0</c:v>
                </c:pt>
                <c:pt idx="295">
                  <c:v>38831.0</c:v>
                </c:pt>
                <c:pt idx="296">
                  <c:v>38832.0</c:v>
                </c:pt>
                <c:pt idx="297">
                  <c:v>38833.0</c:v>
                </c:pt>
                <c:pt idx="298">
                  <c:v>38834.0</c:v>
                </c:pt>
                <c:pt idx="299">
                  <c:v>38835.0</c:v>
                </c:pt>
                <c:pt idx="300">
                  <c:v>38836.0</c:v>
                </c:pt>
                <c:pt idx="301">
                  <c:v>38837.0</c:v>
                </c:pt>
                <c:pt idx="302">
                  <c:v>38838.0</c:v>
                </c:pt>
                <c:pt idx="303">
                  <c:v>38839.0</c:v>
                </c:pt>
                <c:pt idx="304">
                  <c:v>38840.0</c:v>
                </c:pt>
                <c:pt idx="305">
                  <c:v>38841.0</c:v>
                </c:pt>
                <c:pt idx="306">
                  <c:v>38842.0</c:v>
                </c:pt>
                <c:pt idx="307">
                  <c:v>38843.0</c:v>
                </c:pt>
                <c:pt idx="308">
                  <c:v>38844.0</c:v>
                </c:pt>
                <c:pt idx="309">
                  <c:v>38845.0</c:v>
                </c:pt>
                <c:pt idx="310">
                  <c:v>38846.0</c:v>
                </c:pt>
                <c:pt idx="311">
                  <c:v>38847.0</c:v>
                </c:pt>
                <c:pt idx="312">
                  <c:v>38848.0</c:v>
                </c:pt>
                <c:pt idx="313">
                  <c:v>38849.0</c:v>
                </c:pt>
                <c:pt idx="314">
                  <c:v>38850.0</c:v>
                </c:pt>
                <c:pt idx="315">
                  <c:v>38851.0</c:v>
                </c:pt>
                <c:pt idx="316">
                  <c:v>38852.0</c:v>
                </c:pt>
                <c:pt idx="317">
                  <c:v>38853.0</c:v>
                </c:pt>
                <c:pt idx="318">
                  <c:v>38854.0</c:v>
                </c:pt>
                <c:pt idx="319">
                  <c:v>38855.0</c:v>
                </c:pt>
                <c:pt idx="320">
                  <c:v>38856.0</c:v>
                </c:pt>
                <c:pt idx="321">
                  <c:v>38857.0</c:v>
                </c:pt>
                <c:pt idx="322">
                  <c:v>38858.0</c:v>
                </c:pt>
                <c:pt idx="323">
                  <c:v>38859.0</c:v>
                </c:pt>
                <c:pt idx="324">
                  <c:v>38860.0</c:v>
                </c:pt>
                <c:pt idx="325">
                  <c:v>38861.0</c:v>
                </c:pt>
                <c:pt idx="326">
                  <c:v>38862.0</c:v>
                </c:pt>
                <c:pt idx="327">
                  <c:v>38863.0</c:v>
                </c:pt>
                <c:pt idx="328">
                  <c:v>38864.0</c:v>
                </c:pt>
                <c:pt idx="329">
                  <c:v>38865.0</c:v>
                </c:pt>
                <c:pt idx="330">
                  <c:v>38866.0</c:v>
                </c:pt>
                <c:pt idx="331">
                  <c:v>38867.0</c:v>
                </c:pt>
                <c:pt idx="332">
                  <c:v>38868.0</c:v>
                </c:pt>
                <c:pt idx="333">
                  <c:v>38869.0</c:v>
                </c:pt>
                <c:pt idx="334">
                  <c:v>38870.0</c:v>
                </c:pt>
                <c:pt idx="335">
                  <c:v>38871.0</c:v>
                </c:pt>
                <c:pt idx="336">
                  <c:v>38872.0</c:v>
                </c:pt>
                <c:pt idx="337">
                  <c:v>38873.0</c:v>
                </c:pt>
                <c:pt idx="338">
                  <c:v>38874.0</c:v>
                </c:pt>
                <c:pt idx="339">
                  <c:v>38875.0</c:v>
                </c:pt>
                <c:pt idx="340">
                  <c:v>38876.0</c:v>
                </c:pt>
                <c:pt idx="341">
                  <c:v>38877.0</c:v>
                </c:pt>
                <c:pt idx="342">
                  <c:v>38878.0</c:v>
                </c:pt>
                <c:pt idx="343">
                  <c:v>38879.0</c:v>
                </c:pt>
                <c:pt idx="344">
                  <c:v>38880.0</c:v>
                </c:pt>
                <c:pt idx="345">
                  <c:v>38881.0</c:v>
                </c:pt>
                <c:pt idx="346">
                  <c:v>38882.0</c:v>
                </c:pt>
                <c:pt idx="347">
                  <c:v>38883.0</c:v>
                </c:pt>
                <c:pt idx="348">
                  <c:v>38884.0</c:v>
                </c:pt>
                <c:pt idx="349">
                  <c:v>38885.0</c:v>
                </c:pt>
                <c:pt idx="350">
                  <c:v>38886.0</c:v>
                </c:pt>
                <c:pt idx="351">
                  <c:v>38887.0</c:v>
                </c:pt>
                <c:pt idx="352">
                  <c:v>38888.0</c:v>
                </c:pt>
                <c:pt idx="353">
                  <c:v>38889.0</c:v>
                </c:pt>
                <c:pt idx="354">
                  <c:v>38890.0</c:v>
                </c:pt>
                <c:pt idx="355">
                  <c:v>38891.0</c:v>
                </c:pt>
                <c:pt idx="356">
                  <c:v>38892.0</c:v>
                </c:pt>
                <c:pt idx="357">
                  <c:v>38893.0</c:v>
                </c:pt>
                <c:pt idx="358">
                  <c:v>38894.0</c:v>
                </c:pt>
                <c:pt idx="359">
                  <c:v>38895.0</c:v>
                </c:pt>
                <c:pt idx="360">
                  <c:v>38896.0</c:v>
                </c:pt>
                <c:pt idx="361">
                  <c:v>38897.0</c:v>
                </c:pt>
                <c:pt idx="362">
                  <c:v>38898.0</c:v>
                </c:pt>
                <c:pt idx="363">
                  <c:v>38899.0</c:v>
                </c:pt>
                <c:pt idx="364">
                  <c:v>38900.0</c:v>
                </c:pt>
                <c:pt idx="365">
                  <c:v>38901.0</c:v>
                </c:pt>
                <c:pt idx="366">
                  <c:v>38902.0</c:v>
                </c:pt>
                <c:pt idx="367">
                  <c:v>38903.0</c:v>
                </c:pt>
                <c:pt idx="368">
                  <c:v>38904.0</c:v>
                </c:pt>
                <c:pt idx="369">
                  <c:v>38905.0</c:v>
                </c:pt>
                <c:pt idx="370">
                  <c:v>38906.0</c:v>
                </c:pt>
                <c:pt idx="371">
                  <c:v>38907.0</c:v>
                </c:pt>
                <c:pt idx="372">
                  <c:v>38908.0</c:v>
                </c:pt>
                <c:pt idx="373">
                  <c:v>38909.0</c:v>
                </c:pt>
                <c:pt idx="374">
                  <c:v>38910.0</c:v>
                </c:pt>
                <c:pt idx="375">
                  <c:v>38911.0</c:v>
                </c:pt>
                <c:pt idx="376">
                  <c:v>38912.0</c:v>
                </c:pt>
                <c:pt idx="377">
                  <c:v>38913.0</c:v>
                </c:pt>
                <c:pt idx="378">
                  <c:v>38914.0</c:v>
                </c:pt>
                <c:pt idx="379">
                  <c:v>38915.0</c:v>
                </c:pt>
                <c:pt idx="380">
                  <c:v>38916.0</c:v>
                </c:pt>
                <c:pt idx="381">
                  <c:v>38917.0</c:v>
                </c:pt>
                <c:pt idx="382">
                  <c:v>38918.0</c:v>
                </c:pt>
                <c:pt idx="383">
                  <c:v>38919.0</c:v>
                </c:pt>
                <c:pt idx="384">
                  <c:v>38920.0</c:v>
                </c:pt>
                <c:pt idx="385">
                  <c:v>38921.0</c:v>
                </c:pt>
                <c:pt idx="386">
                  <c:v>38922.0</c:v>
                </c:pt>
                <c:pt idx="387">
                  <c:v>38923.0</c:v>
                </c:pt>
                <c:pt idx="388">
                  <c:v>38924.0</c:v>
                </c:pt>
                <c:pt idx="389">
                  <c:v>38925.0</c:v>
                </c:pt>
                <c:pt idx="390">
                  <c:v>38926.0</c:v>
                </c:pt>
                <c:pt idx="391">
                  <c:v>38927.0</c:v>
                </c:pt>
                <c:pt idx="392">
                  <c:v>38928.0</c:v>
                </c:pt>
                <c:pt idx="393">
                  <c:v>38929.0</c:v>
                </c:pt>
                <c:pt idx="394">
                  <c:v>38930.0</c:v>
                </c:pt>
                <c:pt idx="395">
                  <c:v>38931.0</c:v>
                </c:pt>
                <c:pt idx="396">
                  <c:v>38932.0</c:v>
                </c:pt>
                <c:pt idx="397">
                  <c:v>38933.0</c:v>
                </c:pt>
                <c:pt idx="398">
                  <c:v>38934.0</c:v>
                </c:pt>
                <c:pt idx="399">
                  <c:v>38935.0</c:v>
                </c:pt>
                <c:pt idx="400">
                  <c:v>38936.0</c:v>
                </c:pt>
                <c:pt idx="401">
                  <c:v>38937.0</c:v>
                </c:pt>
                <c:pt idx="402">
                  <c:v>38938.0</c:v>
                </c:pt>
                <c:pt idx="403">
                  <c:v>38939.0</c:v>
                </c:pt>
                <c:pt idx="404">
                  <c:v>38940.0</c:v>
                </c:pt>
                <c:pt idx="405">
                  <c:v>38941.0</c:v>
                </c:pt>
                <c:pt idx="406">
                  <c:v>38942.0</c:v>
                </c:pt>
                <c:pt idx="407">
                  <c:v>38943.0</c:v>
                </c:pt>
                <c:pt idx="408">
                  <c:v>38944.0</c:v>
                </c:pt>
                <c:pt idx="409">
                  <c:v>38945.0</c:v>
                </c:pt>
                <c:pt idx="410">
                  <c:v>38946.0</c:v>
                </c:pt>
                <c:pt idx="411">
                  <c:v>38947.0</c:v>
                </c:pt>
                <c:pt idx="412">
                  <c:v>38948.0</c:v>
                </c:pt>
                <c:pt idx="413">
                  <c:v>38949.0</c:v>
                </c:pt>
                <c:pt idx="414">
                  <c:v>38950.0</c:v>
                </c:pt>
                <c:pt idx="415">
                  <c:v>38951.0</c:v>
                </c:pt>
                <c:pt idx="416">
                  <c:v>38952.0</c:v>
                </c:pt>
                <c:pt idx="417">
                  <c:v>38953.0</c:v>
                </c:pt>
                <c:pt idx="418">
                  <c:v>38954.0</c:v>
                </c:pt>
                <c:pt idx="419">
                  <c:v>38955.0</c:v>
                </c:pt>
                <c:pt idx="420">
                  <c:v>38956.0</c:v>
                </c:pt>
                <c:pt idx="421">
                  <c:v>38957.0</c:v>
                </c:pt>
                <c:pt idx="422">
                  <c:v>38958.0</c:v>
                </c:pt>
                <c:pt idx="423">
                  <c:v>38959.0</c:v>
                </c:pt>
                <c:pt idx="424">
                  <c:v>38960.0</c:v>
                </c:pt>
                <c:pt idx="425">
                  <c:v>38961.0</c:v>
                </c:pt>
                <c:pt idx="426">
                  <c:v>38962.0</c:v>
                </c:pt>
                <c:pt idx="427">
                  <c:v>38963.0</c:v>
                </c:pt>
                <c:pt idx="428">
                  <c:v>38964.0</c:v>
                </c:pt>
                <c:pt idx="429">
                  <c:v>38965.0</c:v>
                </c:pt>
                <c:pt idx="430">
                  <c:v>38966.0</c:v>
                </c:pt>
                <c:pt idx="431">
                  <c:v>38967.0</c:v>
                </c:pt>
                <c:pt idx="432">
                  <c:v>38968.0</c:v>
                </c:pt>
                <c:pt idx="433">
                  <c:v>38969.0</c:v>
                </c:pt>
                <c:pt idx="434">
                  <c:v>38970.0</c:v>
                </c:pt>
                <c:pt idx="435">
                  <c:v>38971.0</c:v>
                </c:pt>
                <c:pt idx="436">
                  <c:v>38972.0</c:v>
                </c:pt>
                <c:pt idx="437">
                  <c:v>38973.0</c:v>
                </c:pt>
                <c:pt idx="438">
                  <c:v>38974.0</c:v>
                </c:pt>
                <c:pt idx="439">
                  <c:v>38975.0</c:v>
                </c:pt>
                <c:pt idx="440">
                  <c:v>38976.0</c:v>
                </c:pt>
                <c:pt idx="441">
                  <c:v>38977.0</c:v>
                </c:pt>
                <c:pt idx="442">
                  <c:v>38978.0</c:v>
                </c:pt>
                <c:pt idx="443">
                  <c:v>38979.0</c:v>
                </c:pt>
                <c:pt idx="444">
                  <c:v>38980.0</c:v>
                </c:pt>
                <c:pt idx="445">
                  <c:v>38981.0</c:v>
                </c:pt>
                <c:pt idx="446">
                  <c:v>38982.0</c:v>
                </c:pt>
                <c:pt idx="447">
                  <c:v>38983.0</c:v>
                </c:pt>
                <c:pt idx="448">
                  <c:v>38984.0</c:v>
                </c:pt>
                <c:pt idx="449">
                  <c:v>38985.0</c:v>
                </c:pt>
                <c:pt idx="450">
                  <c:v>38986.0</c:v>
                </c:pt>
                <c:pt idx="451">
                  <c:v>38987.0</c:v>
                </c:pt>
                <c:pt idx="452">
                  <c:v>38988.0</c:v>
                </c:pt>
                <c:pt idx="453">
                  <c:v>38989.0</c:v>
                </c:pt>
                <c:pt idx="454">
                  <c:v>38990.0</c:v>
                </c:pt>
                <c:pt idx="455">
                  <c:v>38991.0</c:v>
                </c:pt>
                <c:pt idx="456">
                  <c:v>38992.0</c:v>
                </c:pt>
                <c:pt idx="457">
                  <c:v>38993.0</c:v>
                </c:pt>
                <c:pt idx="458">
                  <c:v>38994.0</c:v>
                </c:pt>
                <c:pt idx="459">
                  <c:v>38995.0</c:v>
                </c:pt>
                <c:pt idx="460">
                  <c:v>38996.0</c:v>
                </c:pt>
                <c:pt idx="461">
                  <c:v>38997.0</c:v>
                </c:pt>
                <c:pt idx="462">
                  <c:v>38998.0</c:v>
                </c:pt>
                <c:pt idx="463">
                  <c:v>38999.0</c:v>
                </c:pt>
                <c:pt idx="464">
                  <c:v>39000.0</c:v>
                </c:pt>
                <c:pt idx="465">
                  <c:v>39001.0</c:v>
                </c:pt>
                <c:pt idx="466">
                  <c:v>39002.0</c:v>
                </c:pt>
                <c:pt idx="467">
                  <c:v>39003.0</c:v>
                </c:pt>
                <c:pt idx="468">
                  <c:v>39004.0</c:v>
                </c:pt>
                <c:pt idx="469">
                  <c:v>39005.0</c:v>
                </c:pt>
                <c:pt idx="470">
                  <c:v>39006.0</c:v>
                </c:pt>
                <c:pt idx="471">
                  <c:v>39007.0</c:v>
                </c:pt>
                <c:pt idx="472">
                  <c:v>39008.0</c:v>
                </c:pt>
                <c:pt idx="473">
                  <c:v>39009.0</c:v>
                </c:pt>
                <c:pt idx="474">
                  <c:v>39010.0</c:v>
                </c:pt>
                <c:pt idx="475">
                  <c:v>39011.0</c:v>
                </c:pt>
                <c:pt idx="476">
                  <c:v>39012.0</c:v>
                </c:pt>
                <c:pt idx="477">
                  <c:v>39013.0</c:v>
                </c:pt>
                <c:pt idx="478">
                  <c:v>39014.0</c:v>
                </c:pt>
                <c:pt idx="479">
                  <c:v>39015.0</c:v>
                </c:pt>
                <c:pt idx="480">
                  <c:v>39016.0</c:v>
                </c:pt>
                <c:pt idx="481">
                  <c:v>39017.0</c:v>
                </c:pt>
                <c:pt idx="482">
                  <c:v>39018.0</c:v>
                </c:pt>
                <c:pt idx="483">
                  <c:v>39019.0</c:v>
                </c:pt>
                <c:pt idx="484">
                  <c:v>39020.0</c:v>
                </c:pt>
                <c:pt idx="485">
                  <c:v>39021.0</c:v>
                </c:pt>
                <c:pt idx="486">
                  <c:v>39022.0</c:v>
                </c:pt>
                <c:pt idx="487">
                  <c:v>39023.0</c:v>
                </c:pt>
                <c:pt idx="488">
                  <c:v>39024.0</c:v>
                </c:pt>
                <c:pt idx="489">
                  <c:v>39025.0</c:v>
                </c:pt>
                <c:pt idx="490">
                  <c:v>39026.0</c:v>
                </c:pt>
                <c:pt idx="491">
                  <c:v>39027.0</c:v>
                </c:pt>
                <c:pt idx="492">
                  <c:v>39028.0</c:v>
                </c:pt>
                <c:pt idx="493">
                  <c:v>39029.0</c:v>
                </c:pt>
                <c:pt idx="494">
                  <c:v>39030.0</c:v>
                </c:pt>
                <c:pt idx="495">
                  <c:v>39031.0</c:v>
                </c:pt>
                <c:pt idx="496">
                  <c:v>39032.0</c:v>
                </c:pt>
                <c:pt idx="497">
                  <c:v>39033.0</c:v>
                </c:pt>
                <c:pt idx="498">
                  <c:v>39034.0</c:v>
                </c:pt>
                <c:pt idx="499">
                  <c:v>39035.0</c:v>
                </c:pt>
                <c:pt idx="500">
                  <c:v>39036.0</c:v>
                </c:pt>
                <c:pt idx="501">
                  <c:v>39037.0</c:v>
                </c:pt>
                <c:pt idx="502">
                  <c:v>39038.0</c:v>
                </c:pt>
                <c:pt idx="503">
                  <c:v>39039.0</c:v>
                </c:pt>
                <c:pt idx="504">
                  <c:v>39040.0</c:v>
                </c:pt>
                <c:pt idx="505">
                  <c:v>39041.0</c:v>
                </c:pt>
                <c:pt idx="506">
                  <c:v>39042.0</c:v>
                </c:pt>
                <c:pt idx="507">
                  <c:v>39043.0</c:v>
                </c:pt>
                <c:pt idx="508">
                  <c:v>39044.0</c:v>
                </c:pt>
                <c:pt idx="509">
                  <c:v>39045.0</c:v>
                </c:pt>
                <c:pt idx="510">
                  <c:v>39046.0</c:v>
                </c:pt>
                <c:pt idx="511">
                  <c:v>39047.0</c:v>
                </c:pt>
                <c:pt idx="512">
                  <c:v>39048.0</c:v>
                </c:pt>
                <c:pt idx="513">
                  <c:v>39049.0</c:v>
                </c:pt>
                <c:pt idx="514">
                  <c:v>39050.0</c:v>
                </c:pt>
                <c:pt idx="515">
                  <c:v>39051.0</c:v>
                </c:pt>
                <c:pt idx="516">
                  <c:v>39052.0</c:v>
                </c:pt>
                <c:pt idx="517">
                  <c:v>39053.0</c:v>
                </c:pt>
                <c:pt idx="518">
                  <c:v>39054.0</c:v>
                </c:pt>
                <c:pt idx="519">
                  <c:v>39055.0</c:v>
                </c:pt>
                <c:pt idx="520">
                  <c:v>39056.0</c:v>
                </c:pt>
                <c:pt idx="521">
                  <c:v>39057.0</c:v>
                </c:pt>
                <c:pt idx="522">
                  <c:v>39058.0</c:v>
                </c:pt>
                <c:pt idx="523">
                  <c:v>39059.0</c:v>
                </c:pt>
                <c:pt idx="524">
                  <c:v>39060.0</c:v>
                </c:pt>
                <c:pt idx="525">
                  <c:v>39061.0</c:v>
                </c:pt>
                <c:pt idx="526">
                  <c:v>39062.0</c:v>
                </c:pt>
                <c:pt idx="527">
                  <c:v>39063.0</c:v>
                </c:pt>
                <c:pt idx="528">
                  <c:v>39064.0</c:v>
                </c:pt>
                <c:pt idx="529">
                  <c:v>39065.0</c:v>
                </c:pt>
                <c:pt idx="530">
                  <c:v>39066.0</c:v>
                </c:pt>
                <c:pt idx="531">
                  <c:v>39067.0</c:v>
                </c:pt>
                <c:pt idx="532">
                  <c:v>39068.0</c:v>
                </c:pt>
                <c:pt idx="533">
                  <c:v>39069.0</c:v>
                </c:pt>
                <c:pt idx="534">
                  <c:v>39070.0</c:v>
                </c:pt>
                <c:pt idx="535">
                  <c:v>39071.0</c:v>
                </c:pt>
                <c:pt idx="536">
                  <c:v>39072.0</c:v>
                </c:pt>
                <c:pt idx="537">
                  <c:v>39073.0</c:v>
                </c:pt>
                <c:pt idx="538">
                  <c:v>39074.0</c:v>
                </c:pt>
                <c:pt idx="539">
                  <c:v>39075.0</c:v>
                </c:pt>
                <c:pt idx="540">
                  <c:v>39076.0</c:v>
                </c:pt>
                <c:pt idx="541">
                  <c:v>39077.0</c:v>
                </c:pt>
                <c:pt idx="542">
                  <c:v>39078.0</c:v>
                </c:pt>
                <c:pt idx="543">
                  <c:v>39079.0</c:v>
                </c:pt>
                <c:pt idx="544">
                  <c:v>39080.0</c:v>
                </c:pt>
                <c:pt idx="545">
                  <c:v>39081.0</c:v>
                </c:pt>
                <c:pt idx="546">
                  <c:v>39082.0</c:v>
                </c:pt>
                <c:pt idx="547">
                  <c:v>39083.0</c:v>
                </c:pt>
                <c:pt idx="548">
                  <c:v>39084.0</c:v>
                </c:pt>
                <c:pt idx="549">
                  <c:v>39085.0</c:v>
                </c:pt>
                <c:pt idx="550">
                  <c:v>39086.0</c:v>
                </c:pt>
                <c:pt idx="551">
                  <c:v>39087.0</c:v>
                </c:pt>
                <c:pt idx="552">
                  <c:v>39088.0</c:v>
                </c:pt>
                <c:pt idx="553">
                  <c:v>39089.0</c:v>
                </c:pt>
                <c:pt idx="554">
                  <c:v>39090.0</c:v>
                </c:pt>
                <c:pt idx="555">
                  <c:v>39091.0</c:v>
                </c:pt>
                <c:pt idx="556">
                  <c:v>39092.0</c:v>
                </c:pt>
                <c:pt idx="557">
                  <c:v>39093.0</c:v>
                </c:pt>
                <c:pt idx="558">
                  <c:v>39094.0</c:v>
                </c:pt>
                <c:pt idx="559">
                  <c:v>39095.0</c:v>
                </c:pt>
                <c:pt idx="560">
                  <c:v>39096.0</c:v>
                </c:pt>
                <c:pt idx="561">
                  <c:v>39097.0</c:v>
                </c:pt>
                <c:pt idx="562">
                  <c:v>39098.0</c:v>
                </c:pt>
                <c:pt idx="563">
                  <c:v>39099.0</c:v>
                </c:pt>
                <c:pt idx="564">
                  <c:v>39100.0</c:v>
                </c:pt>
                <c:pt idx="565">
                  <c:v>39101.0</c:v>
                </c:pt>
                <c:pt idx="566">
                  <c:v>39102.0</c:v>
                </c:pt>
                <c:pt idx="567">
                  <c:v>39103.0</c:v>
                </c:pt>
                <c:pt idx="568">
                  <c:v>39104.0</c:v>
                </c:pt>
                <c:pt idx="569">
                  <c:v>39105.0</c:v>
                </c:pt>
                <c:pt idx="570">
                  <c:v>39106.0</c:v>
                </c:pt>
                <c:pt idx="571">
                  <c:v>39107.0</c:v>
                </c:pt>
                <c:pt idx="572">
                  <c:v>39108.0</c:v>
                </c:pt>
                <c:pt idx="573">
                  <c:v>39109.0</c:v>
                </c:pt>
                <c:pt idx="574">
                  <c:v>39110.0</c:v>
                </c:pt>
                <c:pt idx="575">
                  <c:v>39111.0</c:v>
                </c:pt>
                <c:pt idx="576">
                  <c:v>39112.0</c:v>
                </c:pt>
                <c:pt idx="577">
                  <c:v>39113.0</c:v>
                </c:pt>
                <c:pt idx="578">
                  <c:v>39114.0</c:v>
                </c:pt>
                <c:pt idx="579">
                  <c:v>39115.0</c:v>
                </c:pt>
                <c:pt idx="580">
                  <c:v>39116.0</c:v>
                </c:pt>
                <c:pt idx="581">
                  <c:v>39117.0</c:v>
                </c:pt>
                <c:pt idx="582">
                  <c:v>39118.0</c:v>
                </c:pt>
                <c:pt idx="583">
                  <c:v>39119.0</c:v>
                </c:pt>
                <c:pt idx="584">
                  <c:v>39120.0</c:v>
                </c:pt>
                <c:pt idx="585">
                  <c:v>39121.0</c:v>
                </c:pt>
                <c:pt idx="586">
                  <c:v>39122.0</c:v>
                </c:pt>
                <c:pt idx="587">
                  <c:v>39123.0</c:v>
                </c:pt>
                <c:pt idx="588">
                  <c:v>39124.0</c:v>
                </c:pt>
                <c:pt idx="589">
                  <c:v>39125.0</c:v>
                </c:pt>
                <c:pt idx="590">
                  <c:v>39126.0</c:v>
                </c:pt>
                <c:pt idx="591">
                  <c:v>39127.0</c:v>
                </c:pt>
                <c:pt idx="592">
                  <c:v>39128.0</c:v>
                </c:pt>
                <c:pt idx="593">
                  <c:v>39129.0</c:v>
                </c:pt>
                <c:pt idx="594">
                  <c:v>39130.0</c:v>
                </c:pt>
                <c:pt idx="595">
                  <c:v>39131.0</c:v>
                </c:pt>
                <c:pt idx="596">
                  <c:v>39132.0</c:v>
                </c:pt>
                <c:pt idx="597">
                  <c:v>39133.0</c:v>
                </c:pt>
                <c:pt idx="598">
                  <c:v>39134.0</c:v>
                </c:pt>
                <c:pt idx="599">
                  <c:v>39135.0</c:v>
                </c:pt>
                <c:pt idx="600">
                  <c:v>39136.0</c:v>
                </c:pt>
                <c:pt idx="601">
                  <c:v>39137.0</c:v>
                </c:pt>
                <c:pt idx="602">
                  <c:v>39138.0</c:v>
                </c:pt>
                <c:pt idx="603">
                  <c:v>39139.0</c:v>
                </c:pt>
                <c:pt idx="604">
                  <c:v>39140.0</c:v>
                </c:pt>
                <c:pt idx="605">
                  <c:v>39141.0</c:v>
                </c:pt>
                <c:pt idx="606">
                  <c:v>39142.0</c:v>
                </c:pt>
                <c:pt idx="607">
                  <c:v>39143.0</c:v>
                </c:pt>
                <c:pt idx="608">
                  <c:v>39144.0</c:v>
                </c:pt>
                <c:pt idx="609">
                  <c:v>39145.0</c:v>
                </c:pt>
                <c:pt idx="610">
                  <c:v>39146.0</c:v>
                </c:pt>
                <c:pt idx="611">
                  <c:v>39147.0</c:v>
                </c:pt>
                <c:pt idx="612">
                  <c:v>39148.0</c:v>
                </c:pt>
                <c:pt idx="613">
                  <c:v>39149.0</c:v>
                </c:pt>
                <c:pt idx="614">
                  <c:v>39150.0</c:v>
                </c:pt>
                <c:pt idx="615">
                  <c:v>39151.0</c:v>
                </c:pt>
                <c:pt idx="616">
                  <c:v>39152.0</c:v>
                </c:pt>
                <c:pt idx="617">
                  <c:v>39153.0</c:v>
                </c:pt>
                <c:pt idx="618">
                  <c:v>39154.0</c:v>
                </c:pt>
                <c:pt idx="619">
                  <c:v>39155.0</c:v>
                </c:pt>
                <c:pt idx="620">
                  <c:v>39156.0</c:v>
                </c:pt>
                <c:pt idx="621">
                  <c:v>39157.0</c:v>
                </c:pt>
                <c:pt idx="622">
                  <c:v>39158.0</c:v>
                </c:pt>
                <c:pt idx="623">
                  <c:v>39159.0</c:v>
                </c:pt>
                <c:pt idx="624">
                  <c:v>39160.0</c:v>
                </c:pt>
                <c:pt idx="625">
                  <c:v>39161.0</c:v>
                </c:pt>
                <c:pt idx="626">
                  <c:v>39162.0</c:v>
                </c:pt>
                <c:pt idx="627">
                  <c:v>39163.0</c:v>
                </c:pt>
                <c:pt idx="628">
                  <c:v>39164.0</c:v>
                </c:pt>
                <c:pt idx="629">
                  <c:v>39165.0</c:v>
                </c:pt>
                <c:pt idx="630">
                  <c:v>39166.0</c:v>
                </c:pt>
                <c:pt idx="631">
                  <c:v>39167.0</c:v>
                </c:pt>
                <c:pt idx="632">
                  <c:v>39168.0</c:v>
                </c:pt>
                <c:pt idx="633">
                  <c:v>39169.0</c:v>
                </c:pt>
                <c:pt idx="634">
                  <c:v>39170.0</c:v>
                </c:pt>
                <c:pt idx="635">
                  <c:v>39171.0</c:v>
                </c:pt>
                <c:pt idx="636">
                  <c:v>39172.0</c:v>
                </c:pt>
                <c:pt idx="637">
                  <c:v>39173.0</c:v>
                </c:pt>
                <c:pt idx="638">
                  <c:v>39174.0</c:v>
                </c:pt>
                <c:pt idx="639">
                  <c:v>39175.0</c:v>
                </c:pt>
                <c:pt idx="640">
                  <c:v>39176.0</c:v>
                </c:pt>
                <c:pt idx="641">
                  <c:v>39177.0</c:v>
                </c:pt>
                <c:pt idx="642">
                  <c:v>39178.0</c:v>
                </c:pt>
                <c:pt idx="643">
                  <c:v>39179.0</c:v>
                </c:pt>
                <c:pt idx="644">
                  <c:v>39180.0</c:v>
                </c:pt>
                <c:pt idx="645">
                  <c:v>39181.0</c:v>
                </c:pt>
                <c:pt idx="646">
                  <c:v>39182.0</c:v>
                </c:pt>
                <c:pt idx="647">
                  <c:v>39183.0</c:v>
                </c:pt>
                <c:pt idx="648">
                  <c:v>39184.0</c:v>
                </c:pt>
                <c:pt idx="649">
                  <c:v>39185.0</c:v>
                </c:pt>
                <c:pt idx="650">
                  <c:v>39186.0</c:v>
                </c:pt>
                <c:pt idx="651">
                  <c:v>39187.0</c:v>
                </c:pt>
                <c:pt idx="652">
                  <c:v>39188.0</c:v>
                </c:pt>
                <c:pt idx="653">
                  <c:v>39189.0</c:v>
                </c:pt>
                <c:pt idx="654">
                  <c:v>39190.0</c:v>
                </c:pt>
                <c:pt idx="655">
                  <c:v>39191.0</c:v>
                </c:pt>
                <c:pt idx="656">
                  <c:v>39192.0</c:v>
                </c:pt>
                <c:pt idx="657">
                  <c:v>39193.0</c:v>
                </c:pt>
                <c:pt idx="658">
                  <c:v>39194.0</c:v>
                </c:pt>
                <c:pt idx="659">
                  <c:v>39195.0</c:v>
                </c:pt>
                <c:pt idx="660">
                  <c:v>39196.0</c:v>
                </c:pt>
                <c:pt idx="661">
                  <c:v>39197.0</c:v>
                </c:pt>
                <c:pt idx="662">
                  <c:v>39198.0</c:v>
                </c:pt>
                <c:pt idx="663">
                  <c:v>39199.0</c:v>
                </c:pt>
                <c:pt idx="664">
                  <c:v>39200.0</c:v>
                </c:pt>
                <c:pt idx="665">
                  <c:v>39201.0</c:v>
                </c:pt>
                <c:pt idx="666">
                  <c:v>39202.0</c:v>
                </c:pt>
                <c:pt idx="667">
                  <c:v>39203.0</c:v>
                </c:pt>
                <c:pt idx="668">
                  <c:v>39204.0</c:v>
                </c:pt>
                <c:pt idx="669">
                  <c:v>39205.0</c:v>
                </c:pt>
                <c:pt idx="670">
                  <c:v>39206.0</c:v>
                </c:pt>
                <c:pt idx="671">
                  <c:v>39207.0</c:v>
                </c:pt>
                <c:pt idx="672">
                  <c:v>39208.0</c:v>
                </c:pt>
                <c:pt idx="673">
                  <c:v>39209.0</c:v>
                </c:pt>
                <c:pt idx="674">
                  <c:v>39210.0</c:v>
                </c:pt>
                <c:pt idx="675">
                  <c:v>39211.0</c:v>
                </c:pt>
                <c:pt idx="676">
                  <c:v>39213.0</c:v>
                </c:pt>
                <c:pt idx="677">
                  <c:v>39214.0</c:v>
                </c:pt>
                <c:pt idx="678">
                  <c:v>39215.0</c:v>
                </c:pt>
                <c:pt idx="679">
                  <c:v>39216.0</c:v>
                </c:pt>
                <c:pt idx="680">
                  <c:v>39217.0</c:v>
                </c:pt>
                <c:pt idx="681">
                  <c:v>39218.0</c:v>
                </c:pt>
                <c:pt idx="682">
                  <c:v>39219.0</c:v>
                </c:pt>
                <c:pt idx="683">
                  <c:v>39220.0</c:v>
                </c:pt>
                <c:pt idx="684">
                  <c:v>39221.0</c:v>
                </c:pt>
                <c:pt idx="685">
                  <c:v>39222.0</c:v>
                </c:pt>
                <c:pt idx="686">
                  <c:v>39223.0</c:v>
                </c:pt>
                <c:pt idx="687">
                  <c:v>39224.0</c:v>
                </c:pt>
                <c:pt idx="688">
                  <c:v>39225.0</c:v>
                </c:pt>
                <c:pt idx="689">
                  <c:v>39226.0</c:v>
                </c:pt>
                <c:pt idx="690">
                  <c:v>39227.0</c:v>
                </c:pt>
                <c:pt idx="691">
                  <c:v>39228.0</c:v>
                </c:pt>
                <c:pt idx="692">
                  <c:v>39229.0</c:v>
                </c:pt>
                <c:pt idx="693">
                  <c:v>39230.0</c:v>
                </c:pt>
                <c:pt idx="694">
                  <c:v>39231.0</c:v>
                </c:pt>
                <c:pt idx="695">
                  <c:v>39232.0</c:v>
                </c:pt>
                <c:pt idx="696">
                  <c:v>39233.0</c:v>
                </c:pt>
                <c:pt idx="697">
                  <c:v>39234.0</c:v>
                </c:pt>
                <c:pt idx="698">
                  <c:v>39235.0</c:v>
                </c:pt>
                <c:pt idx="699">
                  <c:v>39236.0</c:v>
                </c:pt>
                <c:pt idx="700">
                  <c:v>39237.0</c:v>
                </c:pt>
                <c:pt idx="701">
                  <c:v>39238.0</c:v>
                </c:pt>
                <c:pt idx="702">
                  <c:v>39239.0</c:v>
                </c:pt>
                <c:pt idx="703">
                  <c:v>39240.0</c:v>
                </c:pt>
                <c:pt idx="704">
                  <c:v>39241.0</c:v>
                </c:pt>
                <c:pt idx="705">
                  <c:v>39242.0</c:v>
                </c:pt>
                <c:pt idx="706">
                  <c:v>39243.0</c:v>
                </c:pt>
                <c:pt idx="707">
                  <c:v>39244.0</c:v>
                </c:pt>
                <c:pt idx="708">
                  <c:v>39245.0</c:v>
                </c:pt>
                <c:pt idx="709">
                  <c:v>39246.0</c:v>
                </c:pt>
                <c:pt idx="710">
                  <c:v>39247.0</c:v>
                </c:pt>
                <c:pt idx="711">
                  <c:v>39248.0</c:v>
                </c:pt>
                <c:pt idx="712">
                  <c:v>39249.0</c:v>
                </c:pt>
                <c:pt idx="713">
                  <c:v>39250.0</c:v>
                </c:pt>
                <c:pt idx="714">
                  <c:v>39251.0</c:v>
                </c:pt>
                <c:pt idx="715">
                  <c:v>39252.0</c:v>
                </c:pt>
                <c:pt idx="716">
                  <c:v>39253.0</c:v>
                </c:pt>
                <c:pt idx="717">
                  <c:v>39254.0</c:v>
                </c:pt>
                <c:pt idx="718">
                  <c:v>39255.0</c:v>
                </c:pt>
                <c:pt idx="719">
                  <c:v>39256.0</c:v>
                </c:pt>
                <c:pt idx="720">
                  <c:v>39257.0</c:v>
                </c:pt>
                <c:pt idx="721">
                  <c:v>39258.0</c:v>
                </c:pt>
                <c:pt idx="722">
                  <c:v>39259.0</c:v>
                </c:pt>
                <c:pt idx="723">
                  <c:v>39260.0</c:v>
                </c:pt>
                <c:pt idx="724">
                  <c:v>39261.0</c:v>
                </c:pt>
                <c:pt idx="725">
                  <c:v>39262.0</c:v>
                </c:pt>
                <c:pt idx="726">
                  <c:v>39263.0</c:v>
                </c:pt>
                <c:pt idx="727">
                  <c:v>39264.0</c:v>
                </c:pt>
                <c:pt idx="728">
                  <c:v>39265.0</c:v>
                </c:pt>
                <c:pt idx="729">
                  <c:v>39266.0</c:v>
                </c:pt>
                <c:pt idx="730">
                  <c:v>39267.0</c:v>
                </c:pt>
                <c:pt idx="731">
                  <c:v>39268.0</c:v>
                </c:pt>
                <c:pt idx="732">
                  <c:v>39269.0</c:v>
                </c:pt>
                <c:pt idx="733">
                  <c:v>39270.0</c:v>
                </c:pt>
                <c:pt idx="734">
                  <c:v>39271.0</c:v>
                </c:pt>
                <c:pt idx="735">
                  <c:v>39272.0</c:v>
                </c:pt>
                <c:pt idx="736">
                  <c:v>39273.0</c:v>
                </c:pt>
                <c:pt idx="737">
                  <c:v>39274.0</c:v>
                </c:pt>
                <c:pt idx="738">
                  <c:v>39275.0</c:v>
                </c:pt>
                <c:pt idx="739">
                  <c:v>39276.0</c:v>
                </c:pt>
                <c:pt idx="740">
                  <c:v>39277.0</c:v>
                </c:pt>
                <c:pt idx="741">
                  <c:v>39278.0</c:v>
                </c:pt>
                <c:pt idx="742">
                  <c:v>39279.0</c:v>
                </c:pt>
                <c:pt idx="743">
                  <c:v>39280.0</c:v>
                </c:pt>
                <c:pt idx="744">
                  <c:v>39281.0</c:v>
                </c:pt>
                <c:pt idx="745">
                  <c:v>39282.0</c:v>
                </c:pt>
                <c:pt idx="746">
                  <c:v>39283.0</c:v>
                </c:pt>
                <c:pt idx="747">
                  <c:v>39284.0</c:v>
                </c:pt>
                <c:pt idx="748">
                  <c:v>39285.0</c:v>
                </c:pt>
                <c:pt idx="749">
                  <c:v>39286.0</c:v>
                </c:pt>
                <c:pt idx="750">
                  <c:v>39287.0</c:v>
                </c:pt>
                <c:pt idx="751">
                  <c:v>39288.0</c:v>
                </c:pt>
                <c:pt idx="752">
                  <c:v>39289.0</c:v>
                </c:pt>
                <c:pt idx="753">
                  <c:v>39290.0</c:v>
                </c:pt>
                <c:pt idx="754">
                  <c:v>39291.0</c:v>
                </c:pt>
                <c:pt idx="755">
                  <c:v>39292.0</c:v>
                </c:pt>
                <c:pt idx="756">
                  <c:v>39293.0</c:v>
                </c:pt>
                <c:pt idx="757">
                  <c:v>39294.0</c:v>
                </c:pt>
                <c:pt idx="758">
                  <c:v>39295.0</c:v>
                </c:pt>
                <c:pt idx="759">
                  <c:v>39296.0</c:v>
                </c:pt>
                <c:pt idx="760">
                  <c:v>39297.0</c:v>
                </c:pt>
                <c:pt idx="761">
                  <c:v>39298.0</c:v>
                </c:pt>
                <c:pt idx="762">
                  <c:v>39299.0</c:v>
                </c:pt>
                <c:pt idx="763">
                  <c:v>39300.0</c:v>
                </c:pt>
                <c:pt idx="764">
                  <c:v>39301.0</c:v>
                </c:pt>
                <c:pt idx="765">
                  <c:v>39302.0</c:v>
                </c:pt>
                <c:pt idx="766">
                  <c:v>39303.0</c:v>
                </c:pt>
                <c:pt idx="767">
                  <c:v>39304.0</c:v>
                </c:pt>
                <c:pt idx="768">
                  <c:v>39305.0</c:v>
                </c:pt>
                <c:pt idx="769">
                  <c:v>39306.0</c:v>
                </c:pt>
                <c:pt idx="770">
                  <c:v>39307.0</c:v>
                </c:pt>
                <c:pt idx="771">
                  <c:v>39308.0</c:v>
                </c:pt>
                <c:pt idx="772">
                  <c:v>39309.0</c:v>
                </c:pt>
                <c:pt idx="773">
                  <c:v>39310.0</c:v>
                </c:pt>
                <c:pt idx="774">
                  <c:v>39311.0</c:v>
                </c:pt>
                <c:pt idx="775">
                  <c:v>39312.0</c:v>
                </c:pt>
                <c:pt idx="776">
                  <c:v>39313.0</c:v>
                </c:pt>
                <c:pt idx="777">
                  <c:v>39314.0</c:v>
                </c:pt>
                <c:pt idx="778">
                  <c:v>39315.0</c:v>
                </c:pt>
                <c:pt idx="779">
                  <c:v>39316.0</c:v>
                </c:pt>
                <c:pt idx="780">
                  <c:v>39317.0</c:v>
                </c:pt>
                <c:pt idx="781">
                  <c:v>39318.0</c:v>
                </c:pt>
                <c:pt idx="782">
                  <c:v>39319.0</c:v>
                </c:pt>
                <c:pt idx="783">
                  <c:v>39320.0</c:v>
                </c:pt>
                <c:pt idx="784">
                  <c:v>39321.0</c:v>
                </c:pt>
                <c:pt idx="785">
                  <c:v>39322.0</c:v>
                </c:pt>
                <c:pt idx="786">
                  <c:v>39323.0</c:v>
                </c:pt>
                <c:pt idx="787">
                  <c:v>39324.0</c:v>
                </c:pt>
                <c:pt idx="788">
                  <c:v>39325.0</c:v>
                </c:pt>
                <c:pt idx="789">
                  <c:v>39326.0</c:v>
                </c:pt>
                <c:pt idx="790">
                  <c:v>39327.0</c:v>
                </c:pt>
                <c:pt idx="791">
                  <c:v>39328.0</c:v>
                </c:pt>
                <c:pt idx="792">
                  <c:v>39329.0</c:v>
                </c:pt>
                <c:pt idx="793">
                  <c:v>39330.0</c:v>
                </c:pt>
                <c:pt idx="794">
                  <c:v>39331.0</c:v>
                </c:pt>
                <c:pt idx="795">
                  <c:v>39332.0</c:v>
                </c:pt>
                <c:pt idx="796">
                  <c:v>39333.0</c:v>
                </c:pt>
                <c:pt idx="797">
                  <c:v>39334.0</c:v>
                </c:pt>
                <c:pt idx="798">
                  <c:v>39335.0</c:v>
                </c:pt>
                <c:pt idx="799">
                  <c:v>39336.0</c:v>
                </c:pt>
                <c:pt idx="800">
                  <c:v>39337.0</c:v>
                </c:pt>
                <c:pt idx="801">
                  <c:v>39338.0</c:v>
                </c:pt>
                <c:pt idx="802">
                  <c:v>39339.0</c:v>
                </c:pt>
                <c:pt idx="803">
                  <c:v>39340.0</c:v>
                </c:pt>
                <c:pt idx="804">
                  <c:v>39341.0</c:v>
                </c:pt>
                <c:pt idx="805">
                  <c:v>39342.0</c:v>
                </c:pt>
                <c:pt idx="806">
                  <c:v>39343.0</c:v>
                </c:pt>
                <c:pt idx="807">
                  <c:v>39344.0</c:v>
                </c:pt>
                <c:pt idx="808">
                  <c:v>39345.0</c:v>
                </c:pt>
                <c:pt idx="809">
                  <c:v>39346.0</c:v>
                </c:pt>
                <c:pt idx="810">
                  <c:v>39347.0</c:v>
                </c:pt>
                <c:pt idx="811">
                  <c:v>39348.0</c:v>
                </c:pt>
                <c:pt idx="812">
                  <c:v>39349.0</c:v>
                </c:pt>
                <c:pt idx="813">
                  <c:v>39350.0</c:v>
                </c:pt>
                <c:pt idx="814">
                  <c:v>39351.0</c:v>
                </c:pt>
                <c:pt idx="815">
                  <c:v>39352.0</c:v>
                </c:pt>
                <c:pt idx="816">
                  <c:v>39353.0</c:v>
                </c:pt>
                <c:pt idx="817">
                  <c:v>39354.0</c:v>
                </c:pt>
                <c:pt idx="818">
                  <c:v>39355.0</c:v>
                </c:pt>
                <c:pt idx="819">
                  <c:v>39356.0</c:v>
                </c:pt>
                <c:pt idx="820">
                  <c:v>39357.0</c:v>
                </c:pt>
                <c:pt idx="821">
                  <c:v>39358.0</c:v>
                </c:pt>
                <c:pt idx="822">
                  <c:v>39359.0</c:v>
                </c:pt>
                <c:pt idx="823">
                  <c:v>39360.0</c:v>
                </c:pt>
                <c:pt idx="824">
                  <c:v>39361.0</c:v>
                </c:pt>
                <c:pt idx="825">
                  <c:v>39362.0</c:v>
                </c:pt>
                <c:pt idx="826">
                  <c:v>39363.0</c:v>
                </c:pt>
                <c:pt idx="827">
                  <c:v>39364.0</c:v>
                </c:pt>
                <c:pt idx="828">
                  <c:v>39365.0</c:v>
                </c:pt>
                <c:pt idx="829">
                  <c:v>39366.0</c:v>
                </c:pt>
                <c:pt idx="830">
                  <c:v>39367.0</c:v>
                </c:pt>
                <c:pt idx="831">
                  <c:v>39368.0</c:v>
                </c:pt>
                <c:pt idx="832">
                  <c:v>39369.0</c:v>
                </c:pt>
                <c:pt idx="833">
                  <c:v>39370.0</c:v>
                </c:pt>
                <c:pt idx="834">
                  <c:v>39371.0</c:v>
                </c:pt>
                <c:pt idx="835">
                  <c:v>39372.0</c:v>
                </c:pt>
                <c:pt idx="836">
                  <c:v>39373.0</c:v>
                </c:pt>
                <c:pt idx="837">
                  <c:v>39374.0</c:v>
                </c:pt>
                <c:pt idx="838">
                  <c:v>39375.0</c:v>
                </c:pt>
                <c:pt idx="839">
                  <c:v>39376.0</c:v>
                </c:pt>
                <c:pt idx="840">
                  <c:v>39377.0</c:v>
                </c:pt>
                <c:pt idx="841">
                  <c:v>39378.0</c:v>
                </c:pt>
                <c:pt idx="842">
                  <c:v>39379.0</c:v>
                </c:pt>
                <c:pt idx="843">
                  <c:v>39380.0</c:v>
                </c:pt>
                <c:pt idx="844">
                  <c:v>39381.0</c:v>
                </c:pt>
                <c:pt idx="845">
                  <c:v>39382.0</c:v>
                </c:pt>
                <c:pt idx="846">
                  <c:v>39383.0</c:v>
                </c:pt>
                <c:pt idx="847">
                  <c:v>39384.0</c:v>
                </c:pt>
                <c:pt idx="848">
                  <c:v>39385.0</c:v>
                </c:pt>
                <c:pt idx="849">
                  <c:v>39386.0</c:v>
                </c:pt>
                <c:pt idx="850">
                  <c:v>39387.0</c:v>
                </c:pt>
                <c:pt idx="851">
                  <c:v>39388.0</c:v>
                </c:pt>
                <c:pt idx="852">
                  <c:v>39389.0</c:v>
                </c:pt>
                <c:pt idx="853">
                  <c:v>39390.0</c:v>
                </c:pt>
                <c:pt idx="854">
                  <c:v>39391.0</c:v>
                </c:pt>
                <c:pt idx="855">
                  <c:v>39392.0</c:v>
                </c:pt>
                <c:pt idx="856">
                  <c:v>39393.0</c:v>
                </c:pt>
                <c:pt idx="857">
                  <c:v>39394.0</c:v>
                </c:pt>
                <c:pt idx="858">
                  <c:v>39395.0</c:v>
                </c:pt>
                <c:pt idx="859">
                  <c:v>39396.0</c:v>
                </c:pt>
                <c:pt idx="860">
                  <c:v>39397.0</c:v>
                </c:pt>
                <c:pt idx="861">
                  <c:v>39398.0</c:v>
                </c:pt>
                <c:pt idx="862">
                  <c:v>39399.0</c:v>
                </c:pt>
                <c:pt idx="863">
                  <c:v>39400.0</c:v>
                </c:pt>
                <c:pt idx="864">
                  <c:v>39401.0</c:v>
                </c:pt>
                <c:pt idx="865">
                  <c:v>39402.0</c:v>
                </c:pt>
                <c:pt idx="866">
                  <c:v>39403.0</c:v>
                </c:pt>
                <c:pt idx="867">
                  <c:v>39404.0</c:v>
                </c:pt>
                <c:pt idx="868">
                  <c:v>39405.0</c:v>
                </c:pt>
                <c:pt idx="869">
                  <c:v>39406.0</c:v>
                </c:pt>
                <c:pt idx="870">
                  <c:v>39407.0</c:v>
                </c:pt>
                <c:pt idx="871">
                  <c:v>39408.0</c:v>
                </c:pt>
                <c:pt idx="872">
                  <c:v>39409.0</c:v>
                </c:pt>
                <c:pt idx="873">
                  <c:v>39410.0</c:v>
                </c:pt>
                <c:pt idx="874">
                  <c:v>39411.0</c:v>
                </c:pt>
                <c:pt idx="875">
                  <c:v>39412.0</c:v>
                </c:pt>
                <c:pt idx="876">
                  <c:v>39413.0</c:v>
                </c:pt>
                <c:pt idx="877">
                  <c:v>39414.0</c:v>
                </c:pt>
                <c:pt idx="878">
                  <c:v>39415.0</c:v>
                </c:pt>
                <c:pt idx="879">
                  <c:v>39416.0</c:v>
                </c:pt>
                <c:pt idx="880">
                  <c:v>39417.0</c:v>
                </c:pt>
                <c:pt idx="881">
                  <c:v>39418.0</c:v>
                </c:pt>
                <c:pt idx="882">
                  <c:v>39419.0</c:v>
                </c:pt>
                <c:pt idx="883">
                  <c:v>39420.0</c:v>
                </c:pt>
                <c:pt idx="884">
                  <c:v>39421.0</c:v>
                </c:pt>
                <c:pt idx="885">
                  <c:v>39422.0</c:v>
                </c:pt>
                <c:pt idx="886">
                  <c:v>39423.0</c:v>
                </c:pt>
                <c:pt idx="887">
                  <c:v>39424.0</c:v>
                </c:pt>
                <c:pt idx="888">
                  <c:v>39425.0</c:v>
                </c:pt>
                <c:pt idx="889">
                  <c:v>39426.0</c:v>
                </c:pt>
                <c:pt idx="890">
                  <c:v>39427.0</c:v>
                </c:pt>
                <c:pt idx="891">
                  <c:v>39428.0</c:v>
                </c:pt>
                <c:pt idx="892">
                  <c:v>39429.0</c:v>
                </c:pt>
                <c:pt idx="893">
                  <c:v>39430.0</c:v>
                </c:pt>
                <c:pt idx="894">
                  <c:v>39431.0</c:v>
                </c:pt>
                <c:pt idx="895">
                  <c:v>39432.0</c:v>
                </c:pt>
                <c:pt idx="896">
                  <c:v>39433.0</c:v>
                </c:pt>
                <c:pt idx="897">
                  <c:v>39434.0</c:v>
                </c:pt>
                <c:pt idx="898">
                  <c:v>39435.0</c:v>
                </c:pt>
                <c:pt idx="899">
                  <c:v>39436.0</c:v>
                </c:pt>
                <c:pt idx="900">
                  <c:v>39437.0</c:v>
                </c:pt>
                <c:pt idx="901">
                  <c:v>39438.0</c:v>
                </c:pt>
                <c:pt idx="902">
                  <c:v>39439.0</c:v>
                </c:pt>
                <c:pt idx="903">
                  <c:v>39440.0</c:v>
                </c:pt>
                <c:pt idx="904">
                  <c:v>39441.0</c:v>
                </c:pt>
                <c:pt idx="905">
                  <c:v>39442.0</c:v>
                </c:pt>
                <c:pt idx="906">
                  <c:v>39443.0</c:v>
                </c:pt>
                <c:pt idx="907">
                  <c:v>39444.0</c:v>
                </c:pt>
                <c:pt idx="908">
                  <c:v>39445.0</c:v>
                </c:pt>
                <c:pt idx="909">
                  <c:v>39446.0</c:v>
                </c:pt>
                <c:pt idx="910">
                  <c:v>39447.0</c:v>
                </c:pt>
                <c:pt idx="911">
                  <c:v>39448.0</c:v>
                </c:pt>
                <c:pt idx="912">
                  <c:v>39449.0</c:v>
                </c:pt>
                <c:pt idx="913">
                  <c:v>39450.0</c:v>
                </c:pt>
                <c:pt idx="914">
                  <c:v>39451.0</c:v>
                </c:pt>
                <c:pt idx="915">
                  <c:v>39452.0</c:v>
                </c:pt>
                <c:pt idx="916">
                  <c:v>39453.0</c:v>
                </c:pt>
                <c:pt idx="917">
                  <c:v>39454.0</c:v>
                </c:pt>
                <c:pt idx="918">
                  <c:v>39455.0</c:v>
                </c:pt>
                <c:pt idx="919">
                  <c:v>39456.0</c:v>
                </c:pt>
                <c:pt idx="920">
                  <c:v>39457.0</c:v>
                </c:pt>
                <c:pt idx="921">
                  <c:v>39458.0</c:v>
                </c:pt>
                <c:pt idx="922">
                  <c:v>39459.0</c:v>
                </c:pt>
                <c:pt idx="923">
                  <c:v>39460.0</c:v>
                </c:pt>
                <c:pt idx="924">
                  <c:v>39461.0</c:v>
                </c:pt>
                <c:pt idx="925">
                  <c:v>39462.0</c:v>
                </c:pt>
                <c:pt idx="926">
                  <c:v>39463.0</c:v>
                </c:pt>
                <c:pt idx="927">
                  <c:v>39464.0</c:v>
                </c:pt>
                <c:pt idx="928">
                  <c:v>39465.0</c:v>
                </c:pt>
                <c:pt idx="929">
                  <c:v>39466.0</c:v>
                </c:pt>
                <c:pt idx="930">
                  <c:v>39467.0</c:v>
                </c:pt>
                <c:pt idx="931">
                  <c:v>39468.0</c:v>
                </c:pt>
                <c:pt idx="932">
                  <c:v>39469.0</c:v>
                </c:pt>
                <c:pt idx="933">
                  <c:v>39470.0</c:v>
                </c:pt>
                <c:pt idx="934">
                  <c:v>39471.0</c:v>
                </c:pt>
                <c:pt idx="935">
                  <c:v>39472.0</c:v>
                </c:pt>
                <c:pt idx="936">
                  <c:v>39473.0</c:v>
                </c:pt>
                <c:pt idx="937">
                  <c:v>39474.0</c:v>
                </c:pt>
                <c:pt idx="938">
                  <c:v>39475.0</c:v>
                </c:pt>
                <c:pt idx="939">
                  <c:v>39476.0</c:v>
                </c:pt>
                <c:pt idx="940">
                  <c:v>39477.0</c:v>
                </c:pt>
                <c:pt idx="941">
                  <c:v>39478.0</c:v>
                </c:pt>
                <c:pt idx="942">
                  <c:v>39479.0</c:v>
                </c:pt>
                <c:pt idx="943">
                  <c:v>39480.0</c:v>
                </c:pt>
                <c:pt idx="944">
                  <c:v>39481.0</c:v>
                </c:pt>
                <c:pt idx="945">
                  <c:v>39482.0</c:v>
                </c:pt>
                <c:pt idx="946">
                  <c:v>39483.0</c:v>
                </c:pt>
                <c:pt idx="947">
                  <c:v>39484.0</c:v>
                </c:pt>
                <c:pt idx="948">
                  <c:v>39485.0</c:v>
                </c:pt>
                <c:pt idx="949">
                  <c:v>39486.0</c:v>
                </c:pt>
                <c:pt idx="950">
                  <c:v>39487.0</c:v>
                </c:pt>
              </c:numCache>
            </c:numRef>
          </c:cat>
          <c:val>
            <c:numRef>
              <c:f>Sheet3!$B$2:$B$952</c:f>
              <c:numCache>
                <c:formatCode>General</c:formatCode>
                <c:ptCount val="951"/>
                <c:pt idx="0">
                  <c:v>1999.48</c:v>
                </c:pt>
                <c:pt idx="1">
                  <c:v>1999.47</c:v>
                </c:pt>
                <c:pt idx="2">
                  <c:v>1999.51</c:v>
                </c:pt>
                <c:pt idx="3">
                  <c:v>1999.53</c:v>
                </c:pt>
                <c:pt idx="4">
                  <c:v>1999.53</c:v>
                </c:pt>
                <c:pt idx="5">
                  <c:v>1999.54</c:v>
                </c:pt>
                <c:pt idx="6">
                  <c:v>1999.54</c:v>
                </c:pt>
                <c:pt idx="7">
                  <c:v>1999.5</c:v>
                </c:pt>
                <c:pt idx="8">
                  <c:v>1999.47</c:v>
                </c:pt>
                <c:pt idx="9">
                  <c:v>1999.47</c:v>
                </c:pt>
                <c:pt idx="10">
                  <c:v>1999.49</c:v>
                </c:pt>
                <c:pt idx="11">
                  <c:v>1999.52</c:v>
                </c:pt>
                <c:pt idx="12">
                  <c:v>1999.53</c:v>
                </c:pt>
                <c:pt idx="13">
                  <c:v>1999.5</c:v>
                </c:pt>
                <c:pt idx="14">
                  <c:v>1999.5</c:v>
                </c:pt>
                <c:pt idx="15">
                  <c:v>1999.49</c:v>
                </c:pt>
                <c:pt idx="16">
                  <c:v>1999.47</c:v>
                </c:pt>
                <c:pt idx="17">
                  <c:v>1999.49</c:v>
                </c:pt>
                <c:pt idx="18">
                  <c:v>1999.54</c:v>
                </c:pt>
                <c:pt idx="19">
                  <c:v>1999.54</c:v>
                </c:pt>
                <c:pt idx="20">
                  <c:v>1999.5</c:v>
                </c:pt>
                <c:pt idx="21">
                  <c:v>1999.49</c:v>
                </c:pt>
                <c:pt idx="22">
                  <c:v>1999.5</c:v>
                </c:pt>
                <c:pt idx="23">
                  <c:v>1999.49</c:v>
                </c:pt>
                <c:pt idx="24">
                  <c:v>1999.48</c:v>
                </c:pt>
                <c:pt idx="25">
                  <c:v>1999.51</c:v>
                </c:pt>
                <c:pt idx="26">
                  <c:v>1999.52</c:v>
                </c:pt>
                <c:pt idx="27">
                  <c:v>1999.51</c:v>
                </c:pt>
                <c:pt idx="28">
                  <c:v>1999.48</c:v>
                </c:pt>
                <c:pt idx="29">
                  <c:v>1999.46</c:v>
                </c:pt>
                <c:pt idx="30">
                  <c:v>1999.47</c:v>
                </c:pt>
                <c:pt idx="31">
                  <c:v>1999.46</c:v>
                </c:pt>
                <c:pt idx="32">
                  <c:v>1999.47</c:v>
                </c:pt>
                <c:pt idx="33">
                  <c:v>1999.47</c:v>
                </c:pt>
                <c:pt idx="34">
                  <c:v>1999.46</c:v>
                </c:pt>
                <c:pt idx="35">
                  <c:v>1999.47</c:v>
                </c:pt>
                <c:pt idx="36">
                  <c:v>1999.47</c:v>
                </c:pt>
                <c:pt idx="37">
                  <c:v>1999.47</c:v>
                </c:pt>
                <c:pt idx="38">
                  <c:v>1999.46</c:v>
                </c:pt>
                <c:pt idx="39">
                  <c:v>1999.44</c:v>
                </c:pt>
                <c:pt idx="40">
                  <c:v>1999.44</c:v>
                </c:pt>
                <c:pt idx="41">
                  <c:v>1999.45</c:v>
                </c:pt>
                <c:pt idx="42">
                  <c:v>1999.43</c:v>
                </c:pt>
                <c:pt idx="43">
                  <c:v>1999.44</c:v>
                </c:pt>
                <c:pt idx="44">
                  <c:v>1999.43</c:v>
                </c:pt>
                <c:pt idx="45">
                  <c:v>1999.4</c:v>
                </c:pt>
                <c:pt idx="46">
                  <c:v>1999.4</c:v>
                </c:pt>
                <c:pt idx="47">
                  <c:v>1999.43</c:v>
                </c:pt>
                <c:pt idx="48">
                  <c:v>1999.42</c:v>
                </c:pt>
                <c:pt idx="49">
                  <c:v>1999.37</c:v>
                </c:pt>
                <c:pt idx="50">
                  <c:v>1999.37</c:v>
                </c:pt>
                <c:pt idx="51">
                  <c:v>1999.39</c:v>
                </c:pt>
                <c:pt idx="52">
                  <c:v>1999.38</c:v>
                </c:pt>
                <c:pt idx="53">
                  <c:v>1999.37</c:v>
                </c:pt>
                <c:pt idx="54">
                  <c:v>1999.37</c:v>
                </c:pt>
                <c:pt idx="55">
                  <c:v>1999.37</c:v>
                </c:pt>
                <c:pt idx="56">
                  <c:v>1999.37</c:v>
                </c:pt>
                <c:pt idx="57">
                  <c:v>1999.37</c:v>
                </c:pt>
                <c:pt idx="58">
                  <c:v>1999.35</c:v>
                </c:pt>
                <c:pt idx="59">
                  <c:v>1999.34</c:v>
                </c:pt>
                <c:pt idx="60">
                  <c:v>1999.34</c:v>
                </c:pt>
                <c:pt idx="61">
                  <c:v>1999.35</c:v>
                </c:pt>
                <c:pt idx="62">
                  <c:v>1999.38</c:v>
                </c:pt>
                <c:pt idx="63">
                  <c:v>1999.37</c:v>
                </c:pt>
                <c:pt idx="64">
                  <c:v>1999.33</c:v>
                </c:pt>
                <c:pt idx="65">
                  <c:v>1999.33</c:v>
                </c:pt>
                <c:pt idx="66">
                  <c:v>1999.35</c:v>
                </c:pt>
                <c:pt idx="67">
                  <c:v>1999.36</c:v>
                </c:pt>
                <c:pt idx="68">
                  <c:v>1999.35</c:v>
                </c:pt>
                <c:pt idx="69">
                  <c:v>1999.32</c:v>
                </c:pt>
                <c:pt idx="70">
                  <c:v>1999.34</c:v>
                </c:pt>
                <c:pt idx="71">
                  <c:v>1999.37</c:v>
                </c:pt>
                <c:pt idx="72">
                  <c:v>1999.36</c:v>
                </c:pt>
                <c:pt idx="73">
                  <c:v>1999.33</c:v>
                </c:pt>
                <c:pt idx="74">
                  <c:v>1999.32</c:v>
                </c:pt>
                <c:pt idx="75">
                  <c:v>1999.31</c:v>
                </c:pt>
                <c:pt idx="76">
                  <c:v>1999.31</c:v>
                </c:pt>
                <c:pt idx="77">
                  <c:v>1999.3</c:v>
                </c:pt>
                <c:pt idx="78">
                  <c:v>1999.29</c:v>
                </c:pt>
                <c:pt idx="79">
                  <c:v>1999.31</c:v>
                </c:pt>
                <c:pt idx="80">
                  <c:v>1999.33</c:v>
                </c:pt>
                <c:pt idx="81">
                  <c:v>1999.28</c:v>
                </c:pt>
                <c:pt idx="82">
                  <c:v>1999.25</c:v>
                </c:pt>
                <c:pt idx="83">
                  <c:v>1999.27</c:v>
                </c:pt>
                <c:pt idx="84">
                  <c:v>1999.28</c:v>
                </c:pt>
                <c:pt idx="85">
                  <c:v>1999.29</c:v>
                </c:pt>
                <c:pt idx="86">
                  <c:v>1999.33</c:v>
                </c:pt>
                <c:pt idx="87">
                  <c:v>1999.29</c:v>
                </c:pt>
                <c:pt idx="88">
                  <c:v>1999.26</c:v>
                </c:pt>
                <c:pt idx="89">
                  <c:v>1999.3</c:v>
                </c:pt>
                <c:pt idx="90">
                  <c:v>1999.32</c:v>
                </c:pt>
                <c:pt idx="91">
                  <c:v>1999.3</c:v>
                </c:pt>
                <c:pt idx="92">
                  <c:v>1999.32</c:v>
                </c:pt>
                <c:pt idx="93">
                  <c:v>1999.31</c:v>
                </c:pt>
                <c:pt idx="94">
                  <c:v>1999.29</c:v>
                </c:pt>
                <c:pt idx="95">
                  <c:v>1999.28</c:v>
                </c:pt>
                <c:pt idx="96">
                  <c:v>1999.25</c:v>
                </c:pt>
                <c:pt idx="97">
                  <c:v>1999.29</c:v>
                </c:pt>
                <c:pt idx="98">
                  <c:v>1999.23</c:v>
                </c:pt>
                <c:pt idx="99">
                  <c:v>1999.22</c:v>
                </c:pt>
                <c:pt idx="100">
                  <c:v>1999.24</c:v>
                </c:pt>
                <c:pt idx="101">
                  <c:v>1999.25</c:v>
                </c:pt>
                <c:pt idx="102">
                  <c:v>1999.24</c:v>
                </c:pt>
                <c:pt idx="103">
                  <c:v>1999.25</c:v>
                </c:pt>
                <c:pt idx="104">
                  <c:v>1999.27</c:v>
                </c:pt>
                <c:pt idx="105">
                  <c:v>1999.19</c:v>
                </c:pt>
                <c:pt idx="106">
                  <c:v>1999.14</c:v>
                </c:pt>
                <c:pt idx="107">
                  <c:v>1999.19</c:v>
                </c:pt>
                <c:pt idx="108">
                  <c:v>1999.25</c:v>
                </c:pt>
                <c:pt idx="109">
                  <c:v>1999.28</c:v>
                </c:pt>
                <c:pt idx="110">
                  <c:v>1999.31</c:v>
                </c:pt>
                <c:pt idx="111">
                  <c:v>1999.27</c:v>
                </c:pt>
                <c:pt idx="112">
                  <c:v>1999.22</c:v>
                </c:pt>
                <c:pt idx="113">
                  <c:v>1999.24</c:v>
                </c:pt>
                <c:pt idx="114">
                  <c:v>1999.26</c:v>
                </c:pt>
                <c:pt idx="115">
                  <c:v>1999.2</c:v>
                </c:pt>
                <c:pt idx="116">
                  <c:v>1999.26</c:v>
                </c:pt>
                <c:pt idx="117">
                  <c:v>1999.34</c:v>
                </c:pt>
                <c:pt idx="118">
                  <c:v>1999.27</c:v>
                </c:pt>
                <c:pt idx="119">
                  <c:v>1999.19</c:v>
                </c:pt>
                <c:pt idx="120">
                  <c:v>1999.14</c:v>
                </c:pt>
                <c:pt idx="121">
                  <c:v>1999.16</c:v>
                </c:pt>
                <c:pt idx="122">
                  <c:v>1999.15</c:v>
                </c:pt>
                <c:pt idx="123">
                  <c:v>1999.13</c:v>
                </c:pt>
                <c:pt idx="124">
                  <c:v>1999.13</c:v>
                </c:pt>
                <c:pt idx="125">
                  <c:v>1999.13</c:v>
                </c:pt>
                <c:pt idx="126">
                  <c:v>1999.18</c:v>
                </c:pt>
                <c:pt idx="127">
                  <c:v>1999.21</c:v>
                </c:pt>
                <c:pt idx="128">
                  <c:v>1999.2</c:v>
                </c:pt>
                <c:pt idx="129">
                  <c:v>1999.15</c:v>
                </c:pt>
                <c:pt idx="130">
                  <c:v>1999.11</c:v>
                </c:pt>
                <c:pt idx="131">
                  <c:v>1999.13</c:v>
                </c:pt>
                <c:pt idx="132">
                  <c:v>1999.2</c:v>
                </c:pt>
                <c:pt idx="133">
                  <c:v>1999.24</c:v>
                </c:pt>
                <c:pt idx="134">
                  <c:v>1999.22</c:v>
                </c:pt>
                <c:pt idx="135">
                  <c:v>1999.18</c:v>
                </c:pt>
                <c:pt idx="136">
                  <c:v>1999.09</c:v>
                </c:pt>
                <c:pt idx="137">
                  <c:v>1999.13</c:v>
                </c:pt>
                <c:pt idx="138">
                  <c:v>1999.18</c:v>
                </c:pt>
                <c:pt idx="139">
                  <c:v>1999.18</c:v>
                </c:pt>
                <c:pt idx="140">
                  <c:v>1999.15</c:v>
                </c:pt>
                <c:pt idx="141">
                  <c:v>1999.16</c:v>
                </c:pt>
                <c:pt idx="142">
                  <c:v>1999.16</c:v>
                </c:pt>
                <c:pt idx="143">
                  <c:v>1999.15</c:v>
                </c:pt>
                <c:pt idx="144">
                  <c:v>1999.08</c:v>
                </c:pt>
                <c:pt idx="145">
                  <c:v>1999.09</c:v>
                </c:pt>
                <c:pt idx="146">
                  <c:v>1999.08</c:v>
                </c:pt>
                <c:pt idx="147">
                  <c:v>1999.14</c:v>
                </c:pt>
                <c:pt idx="148">
                  <c:v>1999.2</c:v>
                </c:pt>
                <c:pt idx="149">
                  <c:v>1999.18</c:v>
                </c:pt>
                <c:pt idx="150">
                  <c:v>1999.11</c:v>
                </c:pt>
                <c:pt idx="151">
                  <c:v>1999.23</c:v>
                </c:pt>
                <c:pt idx="152">
                  <c:v>1999.17</c:v>
                </c:pt>
                <c:pt idx="153">
                  <c:v>1999.09</c:v>
                </c:pt>
                <c:pt idx="154">
                  <c:v>1999.07</c:v>
                </c:pt>
                <c:pt idx="155">
                  <c:v>1999.15</c:v>
                </c:pt>
                <c:pt idx="156">
                  <c:v>1999.18</c:v>
                </c:pt>
                <c:pt idx="157">
                  <c:v>1999.14</c:v>
                </c:pt>
                <c:pt idx="158">
                  <c:v>1999.23</c:v>
                </c:pt>
                <c:pt idx="159">
                  <c:v>1999.13</c:v>
                </c:pt>
                <c:pt idx="160">
                  <c:v>1999.09</c:v>
                </c:pt>
                <c:pt idx="161">
                  <c:v>1999.09</c:v>
                </c:pt>
                <c:pt idx="162">
                  <c:v>1999.11</c:v>
                </c:pt>
                <c:pt idx="163">
                  <c:v>1999.11</c:v>
                </c:pt>
                <c:pt idx="164">
                  <c:v>1999.11</c:v>
                </c:pt>
                <c:pt idx="165">
                  <c:v>1999.03</c:v>
                </c:pt>
                <c:pt idx="166">
                  <c:v>1999.04</c:v>
                </c:pt>
                <c:pt idx="167">
                  <c:v>1999.12</c:v>
                </c:pt>
                <c:pt idx="168">
                  <c:v>1999.13</c:v>
                </c:pt>
                <c:pt idx="169">
                  <c:v>1999.06</c:v>
                </c:pt>
                <c:pt idx="170">
                  <c:v>1999.06</c:v>
                </c:pt>
                <c:pt idx="171">
                  <c:v>1999.1</c:v>
                </c:pt>
                <c:pt idx="172">
                  <c:v>1999.17</c:v>
                </c:pt>
                <c:pt idx="173">
                  <c:v>1999.2</c:v>
                </c:pt>
                <c:pt idx="174">
                  <c:v>1999.12</c:v>
                </c:pt>
                <c:pt idx="175">
                  <c:v>1999.09</c:v>
                </c:pt>
                <c:pt idx="176">
                  <c:v>1999.08</c:v>
                </c:pt>
                <c:pt idx="177">
                  <c:v>1999.02</c:v>
                </c:pt>
                <c:pt idx="178">
                  <c:v>1998.99</c:v>
                </c:pt>
                <c:pt idx="179">
                  <c:v>1999.07</c:v>
                </c:pt>
                <c:pt idx="180">
                  <c:v>1999.1</c:v>
                </c:pt>
                <c:pt idx="181">
                  <c:v>1999.06</c:v>
                </c:pt>
                <c:pt idx="182">
                  <c:v>1998.99</c:v>
                </c:pt>
                <c:pt idx="183">
                  <c:v>1999.07</c:v>
                </c:pt>
                <c:pt idx="184">
                  <c:v>1999.05</c:v>
                </c:pt>
                <c:pt idx="185">
                  <c:v>1998.99</c:v>
                </c:pt>
                <c:pt idx="186">
                  <c:v>1999.04</c:v>
                </c:pt>
                <c:pt idx="187">
                  <c:v>1999.11</c:v>
                </c:pt>
                <c:pt idx="188">
                  <c:v>1999.01</c:v>
                </c:pt>
                <c:pt idx="189">
                  <c:v>1998.98</c:v>
                </c:pt>
                <c:pt idx="190">
                  <c:v>1999.01</c:v>
                </c:pt>
                <c:pt idx="191">
                  <c:v>1998.99</c:v>
                </c:pt>
                <c:pt idx="192">
                  <c:v>1999.02</c:v>
                </c:pt>
                <c:pt idx="193">
                  <c:v>1999.0</c:v>
                </c:pt>
                <c:pt idx="194">
                  <c:v>1999.06</c:v>
                </c:pt>
                <c:pt idx="195">
                  <c:v>1999.11</c:v>
                </c:pt>
                <c:pt idx="196">
                  <c:v>1999.08</c:v>
                </c:pt>
                <c:pt idx="197">
                  <c:v>1999.07</c:v>
                </c:pt>
                <c:pt idx="198">
                  <c:v>1999.08</c:v>
                </c:pt>
                <c:pt idx="199">
                  <c:v>1999.07</c:v>
                </c:pt>
                <c:pt idx="200">
                  <c:v>1999.1</c:v>
                </c:pt>
                <c:pt idx="201">
                  <c:v>1999.15</c:v>
                </c:pt>
                <c:pt idx="202">
                  <c:v>1999.1</c:v>
                </c:pt>
                <c:pt idx="203">
                  <c:v>1999.14</c:v>
                </c:pt>
                <c:pt idx="204">
                  <c:v>1999.12</c:v>
                </c:pt>
                <c:pt idx="205">
                  <c:v>1999.06</c:v>
                </c:pt>
                <c:pt idx="206">
                  <c:v>1999.01</c:v>
                </c:pt>
                <c:pt idx="207">
                  <c:v>1998.98</c:v>
                </c:pt>
                <c:pt idx="208">
                  <c:v>1999.01</c:v>
                </c:pt>
                <c:pt idx="209">
                  <c:v>1999.06</c:v>
                </c:pt>
                <c:pt idx="210">
                  <c:v>1999.01</c:v>
                </c:pt>
                <c:pt idx="211">
                  <c:v>1999.04</c:v>
                </c:pt>
                <c:pt idx="212">
                  <c:v>1999.11</c:v>
                </c:pt>
                <c:pt idx="213">
                  <c:v>1999.17</c:v>
                </c:pt>
                <c:pt idx="214">
                  <c:v>1999.17</c:v>
                </c:pt>
                <c:pt idx="215">
                  <c:v>1999.28</c:v>
                </c:pt>
                <c:pt idx="216">
                  <c:v>1999.32</c:v>
                </c:pt>
                <c:pt idx="217">
                  <c:v>1999.34</c:v>
                </c:pt>
                <c:pt idx="218">
                  <c:v>1999.38</c:v>
                </c:pt>
                <c:pt idx="219">
                  <c:v>1999.48</c:v>
                </c:pt>
                <c:pt idx="220">
                  <c:v>1999.51</c:v>
                </c:pt>
                <c:pt idx="221">
                  <c:v>1999.4</c:v>
                </c:pt>
                <c:pt idx="222">
                  <c:v>1999.48</c:v>
                </c:pt>
                <c:pt idx="223">
                  <c:v>1999.58</c:v>
                </c:pt>
                <c:pt idx="224">
                  <c:v>1999.52</c:v>
                </c:pt>
                <c:pt idx="225">
                  <c:v>1999.55</c:v>
                </c:pt>
                <c:pt idx="226">
                  <c:v>1999.54</c:v>
                </c:pt>
                <c:pt idx="227">
                  <c:v>1999.47</c:v>
                </c:pt>
                <c:pt idx="228">
                  <c:v>1999.5</c:v>
                </c:pt>
                <c:pt idx="229">
                  <c:v>1999.51</c:v>
                </c:pt>
                <c:pt idx="230">
                  <c:v>1999.55</c:v>
                </c:pt>
                <c:pt idx="231">
                  <c:v>1999.57</c:v>
                </c:pt>
                <c:pt idx="232">
                  <c:v>1999.58</c:v>
                </c:pt>
                <c:pt idx="233">
                  <c:v>1999.59</c:v>
                </c:pt>
                <c:pt idx="234">
                  <c:v>1999.57</c:v>
                </c:pt>
                <c:pt idx="235">
                  <c:v>1999.5</c:v>
                </c:pt>
                <c:pt idx="236">
                  <c:v>1999.47</c:v>
                </c:pt>
                <c:pt idx="237">
                  <c:v>1999.58</c:v>
                </c:pt>
                <c:pt idx="238">
                  <c:v>1999.5</c:v>
                </c:pt>
                <c:pt idx="239">
                  <c:v>1999.49</c:v>
                </c:pt>
                <c:pt idx="240">
                  <c:v>1999.59</c:v>
                </c:pt>
                <c:pt idx="241">
                  <c:v>1999.52</c:v>
                </c:pt>
                <c:pt idx="242">
                  <c:v>1999.45</c:v>
                </c:pt>
                <c:pt idx="243">
                  <c:v>1999.49</c:v>
                </c:pt>
                <c:pt idx="244">
                  <c:v>1999.48</c:v>
                </c:pt>
                <c:pt idx="245">
                  <c:v>1999.47</c:v>
                </c:pt>
                <c:pt idx="246">
                  <c:v>1999.45</c:v>
                </c:pt>
                <c:pt idx="247">
                  <c:v>1999.48</c:v>
                </c:pt>
                <c:pt idx="248">
                  <c:v>1999.54</c:v>
                </c:pt>
                <c:pt idx="249">
                  <c:v>1999.53</c:v>
                </c:pt>
                <c:pt idx="250">
                  <c:v>1999.57</c:v>
                </c:pt>
                <c:pt idx="251">
                  <c:v>1999.51</c:v>
                </c:pt>
                <c:pt idx="252">
                  <c:v>1999.47</c:v>
                </c:pt>
                <c:pt idx="253">
                  <c:v>1999.5</c:v>
                </c:pt>
                <c:pt idx="254">
                  <c:v>1999.5</c:v>
                </c:pt>
                <c:pt idx="255">
                  <c:v>1999.41</c:v>
                </c:pt>
                <c:pt idx="256">
                  <c:v>1999.35</c:v>
                </c:pt>
                <c:pt idx="257">
                  <c:v>1999.41</c:v>
                </c:pt>
                <c:pt idx="258">
                  <c:v>1999.45</c:v>
                </c:pt>
                <c:pt idx="259">
                  <c:v>1999.5</c:v>
                </c:pt>
                <c:pt idx="260">
                  <c:v>1999.38</c:v>
                </c:pt>
                <c:pt idx="261">
                  <c:v>1999.38</c:v>
                </c:pt>
                <c:pt idx="262">
                  <c:v>1999.41</c:v>
                </c:pt>
                <c:pt idx="263">
                  <c:v>1999.31</c:v>
                </c:pt>
                <c:pt idx="264">
                  <c:v>1999.23</c:v>
                </c:pt>
                <c:pt idx="265">
                  <c:v>1999.29</c:v>
                </c:pt>
                <c:pt idx="266">
                  <c:v>1999.29</c:v>
                </c:pt>
                <c:pt idx="267">
                  <c:v>1999.19</c:v>
                </c:pt>
                <c:pt idx="268">
                  <c:v>1999.25</c:v>
                </c:pt>
                <c:pt idx="269">
                  <c:v>1999.28</c:v>
                </c:pt>
                <c:pt idx="270">
                  <c:v>1999.28</c:v>
                </c:pt>
                <c:pt idx="271">
                  <c:v>1999.31</c:v>
                </c:pt>
                <c:pt idx="272">
                  <c:v>1999.27</c:v>
                </c:pt>
                <c:pt idx="273">
                  <c:v>1999.23</c:v>
                </c:pt>
                <c:pt idx="274">
                  <c:v>1999.24</c:v>
                </c:pt>
                <c:pt idx="275">
                  <c:v>1999.23</c:v>
                </c:pt>
                <c:pt idx="276">
                  <c:v>1999.28</c:v>
                </c:pt>
                <c:pt idx="277">
                  <c:v>1999.22</c:v>
                </c:pt>
                <c:pt idx="278">
                  <c:v>1999.16</c:v>
                </c:pt>
                <c:pt idx="279">
                  <c:v>1999.2</c:v>
                </c:pt>
                <c:pt idx="280">
                  <c:v>1999.19</c:v>
                </c:pt>
                <c:pt idx="281">
                  <c:v>1999.17</c:v>
                </c:pt>
                <c:pt idx="282">
                  <c:v>1999.19</c:v>
                </c:pt>
                <c:pt idx="283">
                  <c:v>1999.19</c:v>
                </c:pt>
                <c:pt idx="284">
                  <c:v>1999.17</c:v>
                </c:pt>
                <c:pt idx="285">
                  <c:v>1999.19</c:v>
                </c:pt>
                <c:pt idx="286">
                  <c:v>1999.22</c:v>
                </c:pt>
                <c:pt idx="287">
                  <c:v>1999.3</c:v>
                </c:pt>
                <c:pt idx="288">
                  <c:v>1999.34</c:v>
                </c:pt>
                <c:pt idx="289">
                  <c:v>1999.38</c:v>
                </c:pt>
                <c:pt idx="290">
                  <c:v>1999.43</c:v>
                </c:pt>
                <c:pt idx="291">
                  <c:v>1999.5</c:v>
                </c:pt>
                <c:pt idx="292">
                  <c:v>1999.57</c:v>
                </c:pt>
                <c:pt idx="293">
                  <c:v>1999.57</c:v>
                </c:pt>
                <c:pt idx="294">
                  <c:v>1999.52</c:v>
                </c:pt>
                <c:pt idx="295">
                  <c:v>1999.49</c:v>
                </c:pt>
                <c:pt idx="296">
                  <c:v>1999.53</c:v>
                </c:pt>
                <c:pt idx="297">
                  <c:v>1999.48</c:v>
                </c:pt>
                <c:pt idx="298">
                  <c:v>1999.54</c:v>
                </c:pt>
                <c:pt idx="299">
                  <c:v>1999.64</c:v>
                </c:pt>
                <c:pt idx="300">
                  <c:v>1999.64</c:v>
                </c:pt>
                <c:pt idx="301">
                  <c:v>1999.59</c:v>
                </c:pt>
                <c:pt idx="302">
                  <c:v>1999.54</c:v>
                </c:pt>
                <c:pt idx="303">
                  <c:v>1999.49</c:v>
                </c:pt>
                <c:pt idx="304">
                  <c:v>1999.52</c:v>
                </c:pt>
                <c:pt idx="305">
                  <c:v>1999.56</c:v>
                </c:pt>
                <c:pt idx="306">
                  <c:v>1999.57</c:v>
                </c:pt>
                <c:pt idx="307">
                  <c:v>1999.54</c:v>
                </c:pt>
                <c:pt idx="308">
                  <c:v>1999.47</c:v>
                </c:pt>
                <c:pt idx="309">
                  <c:v>1999.54</c:v>
                </c:pt>
                <c:pt idx="310">
                  <c:v>1999.59</c:v>
                </c:pt>
                <c:pt idx="311">
                  <c:v>1999.59</c:v>
                </c:pt>
                <c:pt idx="312">
                  <c:v>1999.59</c:v>
                </c:pt>
                <c:pt idx="313">
                  <c:v>1999.53</c:v>
                </c:pt>
                <c:pt idx="314">
                  <c:v>1999.52</c:v>
                </c:pt>
                <c:pt idx="315">
                  <c:v>1999.52</c:v>
                </c:pt>
                <c:pt idx="316">
                  <c:v>1999.52</c:v>
                </c:pt>
                <c:pt idx="317">
                  <c:v>1999.51</c:v>
                </c:pt>
                <c:pt idx="318">
                  <c:v>1999.55</c:v>
                </c:pt>
                <c:pt idx="319">
                  <c:v>1999.58</c:v>
                </c:pt>
                <c:pt idx="320">
                  <c:v>1999.55</c:v>
                </c:pt>
                <c:pt idx="321">
                  <c:v>1999.52</c:v>
                </c:pt>
                <c:pt idx="322">
                  <c:v>1999.55</c:v>
                </c:pt>
                <c:pt idx="323">
                  <c:v>1999.54</c:v>
                </c:pt>
                <c:pt idx="324">
                  <c:v>1999.53</c:v>
                </c:pt>
                <c:pt idx="325">
                  <c:v>1999.51</c:v>
                </c:pt>
                <c:pt idx="326">
                  <c:v>1999.48</c:v>
                </c:pt>
                <c:pt idx="327">
                  <c:v>1999.48</c:v>
                </c:pt>
                <c:pt idx="328">
                  <c:v>1999.5</c:v>
                </c:pt>
                <c:pt idx="329">
                  <c:v>1999.53</c:v>
                </c:pt>
                <c:pt idx="330">
                  <c:v>1999.51</c:v>
                </c:pt>
                <c:pt idx="331">
                  <c:v>1999.47</c:v>
                </c:pt>
                <c:pt idx="332">
                  <c:v>1999.49</c:v>
                </c:pt>
                <c:pt idx="333">
                  <c:v>1999.53</c:v>
                </c:pt>
                <c:pt idx="334">
                  <c:v>1999.51</c:v>
                </c:pt>
                <c:pt idx="335">
                  <c:v>1999.49</c:v>
                </c:pt>
                <c:pt idx="336">
                  <c:v>1999.49</c:v>
                </c:pt>
                <c:pt idx="337">
                  <c:v>1999.46</c:v>
                </c:pt>
                <c:pt idx="338">
                  <c:v>1999.44</c:v>
                </c:pt>
                <c:pt idx="339">
                  <c:v>1999.46</c:v>
                </c:pt>
                <c:pt idx="340">
                  <c:v>1999.46</c:v>
                </c:pt>
                <c:pt idx="341">
                  <c:v>1999.48</c:v>
                </c:pt>
                <c:pt idx="342">
                  <c:v>1999.47</c:v>
                </c:pt>
                <c:pt idx="343">
                  <c:v>1999.43</c:v>
                </c:pt>
                <c:pt idx="344">
                  <c:v>1999.43</c:v>
                </c:pt>
                <c:pt idx="345">
                  <c:v>1999.45</c:v>
                </c:pt>
                <c:pt idx="346">
                  <c:v>1999.42</c:v>
                </c:pt>
                <c:pt idx="347">
                  <c:v>1999.4</c:v>
                </c:pt>
                <c:pt idx="348">
                  <c:v>1999.41</c:v>
                </c:pt>
                <c:pt idx="349">
                  <c:v>1999.41</c:v>
                </c:pt>
                <c:pt idx="350">
                  <c:v>1999.39</c:v>
                </c:pt>
                <c:pt idx="351">
                  <c:v>1999.4</c:v>
                </c:pt>
                <c:pt idx="352">
                  <c:v>1999.4</c:v>
                </c:pt>
                <c:pt idx="353">
                  <c:v>1999.39</c:v>
                </c:pt>
                <c:pt idx="354">
                  <c:v>1999.38</c:v>
                </c:pt>
                <c:pt idx="355">
                  <c:v>1999.37</c:v>
                </c:pt>
                <c:pt idx="356">
                  <c:v>1999.39</c:v>
                </c:pt>
                <c:pt idx="357">
                  <c:v>1999.41</c:v>
                </c:pt>
                <c:pt idx="358">
                  <c:v>1999.42</c:v>
                </c:pt>
                <c:pt idx="359">
                  <c:v>1999.4</c:v>
                </c:pt>
                <c:pt idx="360">
                  <c:v>1999.37</c:v>
                </c:pt>
                <c:pt idx="361">
                  <c:v>1999.38</c:v>
                </c:pt>
                <c:pt idx="362">
                  <c:v>1999.39</c:v>
                </c:pt>
                <c:pt idx="363">
                  <c:v>1999.41</c:v>
                </c:pt>
                <c:pt idx="364">
                  <c:v>1999.42</c:v>
                </c:pt>
                <c:pt idx="365">
                  <c:v>1999.41</c:v>
                </c:pt>
                <c:pt idx="366">
                  <c:v>1999.41</c:v>
                </c:pt>
                <c:pt idx="367">
                  <c:v>1999.38</c:v>
                </c:pt>
                <c:pt idx="368">
                  <c:v>1999.37</c:v>
                </c:pt>
                <c:pt idx="369">
                  <c:v>1999.36</c:v>
                </c:pt>
                <c:pt idx="370">
                  <c:v>1999.35</c:v>
                </c:pt>
                <c:pt idx="371">
                  <c:v>1999.34</c:v>
                </c:pt>
                <c:pt idx="372">
                  <c:v>1999.37</c:v>
                </c:pt>
                <c:pt idx="373">
                  <c:v>1999.39</c:v>
                </c:pt>
                <c:pt idx="374">
                  <c:v>1999.36</c:v>
                </c:pt>
                <c:pt idx="375">
                  <c:v>1999.32</c:v>
                </c:pt>
                <c:pt idx="376">
                  <c:v>1999.31</c:v>
                </c:pt>
                <c:pt idx="377">
                  <c:v>1999.31</c:v>
                </c:pt>
                <c:pt idx="378">
                  <c:v>1999.31</c:v>
                </c:pt>
                <c:pt idx="379">
                  <c:v>1999.32</c:v>
                </c:pt>
                <c:pt idx="380">
                  <c:v>1999.33</c:v>
                </c:pt>
                <c:pt idx="381">
                  <c:v>1999.31</c:v>
                </c:pt>
                <c:pt idx="382">
                  <c:v>1999.29</c:v>
                </c:pt>
                <c:pt idx="383">
                  <c:v>1999.3</c:v>
                </c:pt>
                <c:pt idx="384">
                  <c:v>1999.3</c:v>
                </c:pt>
                <c:pt idx="385">
                  <c:v>1999.28</c:v>
                </c:pt>
                <c:pt idx="386">
                  <c:v>1999.28</c:v>
                </c:pt>
                <c:pt idx="387">
                  <c:v>1999.3</c:v>
                </c:pt>
                <c:pt idx="388">
                  <c:v>1999.29</c:v>
                </c:pt>
                <c:pt idx="389">
                  <c:v>1999.26</c:v>
                </c:pt>
                <c:pt idx="390">
                  <c:v>1999.25</c:v>
                </c:pt>
                <c:pt idx="391">
                  <c:v>1999.29</c:v>
                </c:pt>
                <c:pt idx="392">
                  <c:v>1999.29</c:v>
                </c:pt>
                <c:pt idx="393">
                  <c:v>1999.28</c:v>
                </c:pt>
                <c:pt idx="394">
                  <c:v>1999.25</c:v>
                </c:pt>
                <c:pt idx="395">
                  <c:v>1999.24</c:v>
                </c:pt>
                <c:pt idx="396">
                  <c:v>1999.25</c:v>
                </c:pt>
                <c:pt idx="397">
                  <c:v>1999.26</c:v>
                </c:pt>
                <c:pt idx="398">
                  <c:v>1999.26</c:v>
                </c:pt>
                <c:pt idx="399">
                  <c:v>1999.26</c:v>
                </c:pt>
                <c:pt idx="400">
                  <c:v>1999.25</c:v>
                </c:pt>
                <c:pt idx="401">
                  <c:v>1999.23</c:v>
                </c:pt>
                <c:pt idx="402">
                  <c:v>1999.23</c:v>
                </c:pt>
                <c:pt idx="403">
                  <c:v>1999.24</c:v>
                </c:pt>
                <c:pt idx="404">
                  <c:v>1999.25</c:v>
                </c:pt>
                <c:pt idx="405">
                  <c:v>1999.25</c:v>
                </c:pt>
                <c:pt idx="406">
                  <c:v>1999.22</c:v>
                </c:pt>
                <c:pt idx="407">
                  <c:v>1999.19</c:v>
                </c:pt>
                <c:pt idx="408">
                  <c:v>1999.2</c:v>
                </c:pt>
                <c:pt idx="409">
                  <c:v>1999.21</c:v>
                </c:pt>
                <c:pt idx="410">
                  <c:v>1999.19</c:v>
                </c:pt>
                <c:pt idx="411">
                  <c:v>1999.22</c:v>
                </c:pt>
                <c:pt idx="412">
                  <c:v>1999.22</c:v>
                </c:pt>
                <c:pt idx="413">
                  <c:v>1999.16</c:v>
                </c:pt>
                <c:pt idx="414">
                  <c:v>1999.16</c:v>
                </c:pt>
                <c:pt idx="415">
                  <c:v>1999.19</c:v>
                </c:pt>
                <c:pt idx="416">
                  <c:v>1999.17</c:v>
                </c:pt>
                <c:pt idx="417">
                  <c:v>1999.12</c:v>
                </c:pt>
                <c:pt idx="418">
                  <c:v>1999.13</c:v>
                </c:pt>
                <c:pt idx="419">
                  <c:v>1999.17</c:v>
                </c:pt>
                <c:pt idx="420">
                  <c:v>1999.19</c:v>
                </c:pt>
                <c:pt idx="421">
                  <c:v>1999.17</c:v>
                </c:pt>
                <c:pt idx="422">
                  <c:v>1999.14</c:v>
                </c:pt>
                <c:pt idx="423">
                  <c:v>1999.14</c:v>
                </c:pt>
                <c:pt idx="424">
                  <c:v>1999.16</c:v>
                </c:pt>
                <c:pt idx="425">
                  <c:v>1999.15</c:v>
                </c:pt>
                <c:pt idx="426">
                  <c:v>1999.09</c:v>
                </c:pt>
                <c:pt idx="427">
                  <c:v>1999.11</c:v>
                </c:pt>
                <c:pt idx="428">
                  <c:v>1999.16</c:v>
                </c:pt>
                <c:pt idx="429">
                  <c:v>1999.16</c:v>
                </c:pt>
                <c:pt idx="430">
                  <c:v>1999.15</c:v>
                </c:pt>
                <c:pt idx="431">
                  <c:v>1999.14</c:v>
                </c:pt>
                <c:pt idx="432">
                  <c:v>1999.14</c:v>
                </c:pt>
                <c:pt idx="433">
                  <c:v>1999.13</c:v>
                </c:pt>
                <c:pt idx="434">
                  <c:v>1999.1</c:v>
                </c:pt>
                <c:pt idx="435">
                  <c:v>1999.06</c:v>
                </c:pt>
                <c:pt idx="436">
                  <c:v>1999.08</c:v>
                </c:pt>
                <c:pt idx="437">
                  <c:v>1999.09</c:v>
                </c:pt>
                <c:pt idx="438">
                  <c:v>1999.1</c:v>
                </c:pt>
                <c:pt idx="439">
                  <c:v>1999.09</c:v>
                </c:pt>
                <c:pt idx="440">
                  <c:v>1999.07</c:v>
                </c:pt>
                <c:pt idx="441">
                  <c:v>1999.07</c:v>
                </c:pt>
                <c:pt idx="442">
                  <c:v>1999.06</c:v>
                </c:pt>
                <c:pt idx="443">
                  <c:v>1999.09</c:v>
                </c:pt>
                <c:pt idx="444">
                  <c:v>1999.1</c:v>
                </c:pt>
                <c:pt idx="445">
                  <c:v>1999.08</c:v>
                </c:pt>
                <c:pt idx="446">
                  <c:v>1999.06</c:v>
                </c:pt>
                <c:pt idx="447">
                  <c:v>1999.03</c:v>
                </c:pt>
                <c:pt idx="448">
                  <c:v>1999.05</c:v>
                </c:pt>
                <c:pt idx="449">
                  <c:v>1999.06</c:v>
                </c:pt>
                <c:pt idx="450">
                  <c:v>1999.05</c:v>
                </c:pt>
                <c:pt idx="451">
                  <c:v>1999.08</c:v>
                </c:pt>
                <c:pt idx="452">
                  <c:v>1999.09</c:v>
                </c:pt>
                <c:pt idx="453">
                  <c:v>1999.02</c:v>
                </c:pt>
                <c:pt idx="454">
                  <c:v>1999.01</c:v>
                </c:pt>
                <c:pt idx="455">
                  <c:v>1999.0</c:v>
                </c:pt>
                <c:pt idx="456">
                  <c:v>1998.98</c:v>
                </c:pt>
                <c:pt idx="457">
                  <c:v>1998.99</c:v>
                </c:pt>
                <c:pt idx="458">
                  <c:v>1998.98</c:v>
                </c:pt>
                <c:pt idx="459">
                  <c:v>1998.98</c:v>
                </c:pt>
                <c:pt idx="460">
                  <c:v>1999.0</c:v>
                </c:pt>
                <c:pt idx="461">
                  <c:v>1999.02</c:v>
                </c:pt>
                <c:pt idx="462">
                  <c:v>1999.03</c:v>
                </c:pt>
                <c:pt idx="463">
                  <c:v>1999.06</c:v>
                </c:pt>
                <c:pt idx="464">
                  <c:v>1999.05</c:v>
                </c:pt>
                <c:pt idx="465">
                  <c:v>1998.98</c:v>
                </c:pt>
                <c:pt idx="466">
                  <c:v>1998.93</c:v>
                </c:pt>
                <c:pt idx="467">
                  <c:v>1998.95</c:v>
                </c:pt>
                <c:pt idx="468">
                  <c:v>1999.0</c:v>
                </c:pt>
                <c:pt idx="469">
                  <c:v>1998.99</c:v>
                </c:pt>
                <c:pt idx="470">
                  <c:v>1999.01</c:v>
                </c:pt>
                <c:pt idx="471">
                  <c:v>1999.03</c:v>
                </c:pt>
                <c:pt idx="472">
                  <c:v>1999.0</c:v>
                </c:pt>
                <c:pt idx="473">
                  <c:v>1998.98</c:v>
                </c:pt>
                <c:pt idx="474">
                  <c:v>1999.01</c:v>
                </c:pt>
                <c:pt idx="475">
                  <c:v>1999.01</c:v>
                </c:pt>
                <c:pt idx="476">
                  <c:v>1999.0</c:v>
                </c:pt>
                <c:pt idx="477">
                  <c:v>1999.0</c:v>
                </c:pt>
                <c:pt idx="478">
                  <c:v>1999.09</c:v>
                </c:pt>
                <c:pt idx="479">
                  <c:v>1999.01</c:v>
                </c:pt>
                <c:pt idx="480">
                  <c:v>1998.94</c:v>
                </c:pt>
                <c:pt idx="481">
                  <c:v>1998.81</c:v>
                </c:pt>
                <c:pt idx="482">
                  <c:v>1998.9</c:v>
                </c:pt>
                <c:pt idx="483">
                  <c:v>1998.98</c:v>
                </c:pt>
                <c:pt idx="484">
                  <c:v>1998.99</c:v>
                </c:pt>
                <c:pt idx="485">
                  <c:v>1998.95</c:v>
                </c:pt>
                <c:pt idx="486">
                  <c:v>1998.93</c:v>
                </c:pt>
                <c:pt idx="487">
                  <c:v>1998.93</c:v>
                </c:pt>
                <c:pt idx="488">
                  <c:v>1998.89</c:v>
                </c:pt>
                <c:pt idx="489">
                  <c:v>1998.9</c:v>
                </c:pt>
                <c:pt idx="490">
                  <c:v>1998.88</c:v>
                </c:pt>
                <c:pt idx="491">
                  <c:v>1998.9</c:v>
                </c:pt>
                <c:pt idx="492">
                  <c:v>1998.98</c:v>
                </c:pt>
                <c:pt idx="493">
                  <c:v>1999.0</c:v>
                </c:pt>
                <c:pt idx="494">
                  <c:v>1998.94</c:v>
                </c:pt>
                <c:pt idx="495">
                  <c:v>1998.91</c:v>
                </c:pt>
                <c:pt idx="496">
                  <c:v>1998.88</c:v>
                </c:pt>
                <c:pt idx="497">
                  <c:v>1998.89</c:v>
                </c:pt>
                <c:pt idx="498">
                  <c:v>1998.97</c:v>
                </c:pt>
                <c:pt idx="499">
                  <c:v>1999.01</c:v>
                </c:pt>
                <c:pt idx="500">
                  <c:v>1998.92</c:v>
                </c:pt>
                <c:pt idx="501">
                  <c:v>1998.86</c:v>
                </c:pt>
                <c:pt idx="502">
                  <c:v>1998.82</c:v>
                </c:pt>
                <c:pt idx="503">
                  <c:v>1998.91</c:v>
                </c:pt>
                <c:pt idx="504">
                  <c:v>1998.92</c:v>
                </c:pt>
                <c:pt idx="505">
                  <c:v>1998.92</c:v>
                </c:pt>
                <c:pt idx="506">
                  <c:v>1998.92</c:v>
                </c:pt>
                <c:pt idx="507">
                  <c:v>1998.9</c:v>
                </c:pt>
                <c:pt idx="508">
                  <c:v>1998.96</c:v>
                </c:pt>
                <c:pt idx="509">
                  <c:v>1998.91</c:v>
                </c:pt>
                <c:pt idx="510">
                  <c:v>1998.8</c:v>
                </c:pt>
                <c:pt idx="511">
                  <c:v>1998.87</c:v>
                </c:pt>
                <c:pt idx="512">
                  <c:v>1998.97</c:v>
                </c:pt>
                <c:pt idx="513">
                  <c:v>1998.91</c:v>
                </c:pt>
                <c:pt idx="514">
                  <c:v>1998.75</c:v>
                </c:pt>
                <c:pt idx="515">
                  <c:v>1998.84</c:v>
                </c:pt>
                <c:pt idx="516">
                  <c:v>1998.86</c:v>
                </c:pt>
                <c:pt idx="517">
                  <c:v>1998.87</c:v>
                </c:pt>
                <c:pt idx="518">
                  <c:v>1998.85</c:v>
                </c:pt>
                <c:pt idx="519">
                  <c:v>1998.78</c:v>
                </c:pt>
                <c:pt idx="520">
                  <c:v>1998.81</c:v>
                </c:pt>
                <c:pt idx="521">
                  <c:v>1998.9</c:v>
                </c:pt>
                <c:pt idx="522">
                  <c:v>1998.81</c:v>
                </c:pt>
                <c:pt idx="523">
                  <c:v>1998.89</c:v>
                </c:pt>
                <c:pt idx="524">
                  <c:v>1998.92</c:v>
                </c:pt>
                <c:pt idx="525">
                  <c:v>1998.86</c:v>
                </c:pt>
                <c:pt idx="526">
                  <c:v>1998.76</c:v>
                </c:pt>
                <c:pt idx="527">
                  <c:v>1998.84</c:v>
                </c:pt>
                <c:pt idx="528">
                  <c:v>1998.9</c:v>
                </c:pt>
                <c:pt idx="529">
                  <c:v>1998.95</c:v>
                </c:pt>
                <c:pt idx="530">
                  <c:v>1998.86</c:v>
                </c:pt>
                <c:pt idx="531">
                  <c:v>1998.82</c:v>
                </c:pt>
                <c:pt idx="532">
                  <c:v>1998.84</c:v>
                </c:pt>
                <c:pt idx="533">
                  <c:v>1998.87</c:v>
                </c:pt>
                <c:pt idx="534">
                  <c:v>1998.86</c:v>
                </c:pt>
                <c:pt idx="535">
                  <c:v>1998.81</c:v>
                </c:pt>
                <c:pt idx="536">
                  <c:v>1998.77</c:v>
                </c:pt>
                <c:pt idx="537">
                  <c:v>1998.82</c:v>
                </c:pt>
                <c:pt idx="538">
                  <c:v>1998.79</c:v>
                </c:pt>
                <c:pt idx="539">
                  <c:v>1998.73</c:v>
                </c:pt>
                <c:pt idx="540">
                  <c:v>1998.79</c:v>
                </c:pt>
                <c:pt idx="541">
                  <c:v>1998.83</c:v>
                </c:pt>
                <c:pt idx="542">
                  <c:v>1998.86</c:v>
                </c:pt>
                <c:pt idx="543">
                  <c:v>1998.93</c:v>
                </c:pt>
                <c:pt idx="544">
                  <c:v>1998.95</c:v>
                </c:pt>
                <c:pt idx="545">
                  <c:v>1998.84</c:v>
                </c:pt>
                <c:pt idx="546">
                  <c:v>1998.74</c:v>
                </c:pt>
                <c:pt idx="547">
                  <c:v>1998.74</c:v>
                </c:pt>
                <c:pt idx="548">
                  <c:v>1998.81</c:v>
                </c:pt>
                <c:pt idx="549">
                  <c:v>1998.82</c:v>
                </c:pt>
                <c:pt idx="550">
                  <c:v>1998.81</c:v>
                </c:pt>
                <c:pt idx="551">
                  <c:v>1998.81</c:v>
                </c:pt>
                <c:pt idx="552">
                  <c:v>1998.87</c:v>
                </c:pt>
                <c:pt idx="553">
                  <c:v>1998.89</c:v>
                </c:pt>
                <c:pt idx="554">
                  <c:v>1998.88</c:v>
                </c:pt>
                <c:pt idx="555">
                  <c:v>1998.8</c:v>
                </c:pt>
                <c:pt idx="556">
                  <c:v>1998.68</c:v>
                </c:pt>
                <c:pt idx="557">
                  <c:v>1998.74</c:v>
                </c:pt>
                <c:pt idx="558">
                  <c:v>1998.81</c:v>
                </c:pt>
                <c:pt idx="559">
                  <c:v>1998.88</c:v>
                </c:pt>
                <c:pt idx="560">
                  <c:v>1998.88</c:v>
                </c:pt>
                <c:pt idx="561">
                  <c:v>1998.92</c:v>
                </c:pt>
                <c:pt idx="562">
                  <c:v>1998.98</c:v>
                </c:pt>
                <c:pt idx="563">
                  <c:v>1998.89</c:v>
                </c:pt>
                <c:pt idx="564">
                  <c:v>1998.92</c:v>
                </c:pt>
                <c:pt idx="565">
                  <c:v>1998.84</c:v>
                </c:pt>
                <c:pt idx="566">
                  <c:v>1998.9</c:v>
                </c:pt>
                <c:pt idx="567">
                  <c:v>1998.92</c:v>
                </c:pt>
                <c:pt idx="568">
                  <c:v>1998.9</c:v>
                </c:pt>
                <c:pt idx="569">
                  <c:v>1998.91</c:v>
                </c:pt>
                <c:pt idx="570">
                  <c:v>1998.86</c:v>
                </c:pt>
                <c:pt idx="571">
                  <c:v>1998.86</c:v>
                </c:pt>
                <c:pt idx="572">
                  <c:v>1998.86</c:v>
                </c:pt>
                <c:pt idx="573">
                  <c:v>1998.89</c:v>
                </c:pt>
                <c:pt idx="574">
                  <c:v>1998.93</c:v>
                </c:pt>
                <c:pt idx="575">
                  <c:v>1998.92</c:v>
                </c:pt>
                <c:pt idx="576">
                  <c:v>1998.97</c:v>
                </c:pt>
                <c:pt idx="577">
                  <c:v>1998.86</c:v>
                </c:pt>
                <c:pt idx="578">
                  <c:v>1998.82</c:v>
                </c:pt>
                <c:pt idx="579">
                  <c:v>1998.89</c:v>
                </c:pt>
                <c:pt idx="580">
                  <c:v>1998.93</c:v>
                </c:pt>
                <c:pt idx="581">
                  <c:v>1999.0</c:v>
                </c:pt>
                <c:pt idx="582">
                  <c:v>1998.94</c:v>
                </c:pt>
                <c:pt idx="583">
                  <c:v>1998.84</c:v>
                </c:pt>
                <c:pt idx="584">
                  <c:v>1998.96</c:v>
                </c:pt>
                <c:pt idx="585">
                  <c:v>1998.8</c:v>
                </c:pt>
                <c:pt idx="586">
                  <c:v>1998.84</c:v>
                </c:pt>
                <c:pt idx="587">
                  <c:v>1998.79</c:v>
                </c:pt>
                <c:pt idx="588">
                  <c:v>1998.76</c:v>
                </c:pt>
                <c:pt idx="589">
                  <c:v>1998.83</c:v>
                </c:pt>
                <c:pt idx="590">
                  <c:v>1998.82</c:v>
                </c:pt>
                <c:pt idx="591">
                  <c:v>1998.82</c:v>
                </c:pt>
                <c:pt idx="592">
                  <c:v>1998.83</c:v>
                </c:pt>
                <c:pt idx="593">
                  <c:v>1998.81</c:v>
                </c:pt>
                <c:pt idx="594">
                  <c:v>1998.75</c:v>
                </c:pt>
                <c:pt idx="595">
                  <c:v>1998.77</c:v>
                </c:pt>
                <c:pt idx="596">
                  <c:v>1998.83</c:v>
                </c:pt>
                <c:pt idx="597">
                  <c:v>1998.79</c:v>
                </c:pt>
                <c:pt idx="598">
                  <c:v>1998.75</c:v>
                </c:pt>
                <c:pt idx="599">
                  <c:v>1998.77</c:v>
                </c:pt>
                <c:pt idx="600">
                  <c:v>1998.76</c:v>
                </c:pt>
                <c:pt idx="601">
                  <c:v>1998.72</c:v>
                </c:pt>
                <c:pt idx="602">
                  <c:v>1998.77</c:v>
                </c:pt>
                <c:pt idx="603">
                  <c:v>1998.79</c:v>
                </c:pt>
                <c:pt idx="604">
                  <c:v>1998.61</c:v>
                </c:pt>
                <c:pt idx="605">
                  <c:v>1998.66</c:v>
                </c:pt>
                <c:pt idx="606">
                  <c:v>1998.7</c:v>
                </c:pt>
                <c:pt idx="607">
                  <c:v>1998.73</c:v>
                </c:pt>
                <c:pt idx="608">
                  <c:v>1998.74</c:v>
                </c:pt>
                <c:pt idx="609">
                  <c:v>1998.61</c:v>
                </c:pt>
                <c:pt idx="610">
                  <c:v>1998.71</c:v>
                </c:pt>
                <c:pt idx="611">
                  <c:v>1998.79</c:v>
                </c:pt>
                <c:pt idx="612">
                  <c:v>1998.74</c:v>
                </c:pt>
                <c:pt idx="613">
                  <c:v>1998.58</c:v>
                </c:pt>
                <c:pt idx="614">
                  <c:v>1998.59</c:v>
                </c:pt>
                <c:pt idx="615">
                  <c:v>1998.69</c:v>
                </c:pt>
                <c:pt idx="616">
                  <c:v>1998.71</c:v>
                </c:pt>
                <c:pt idx="617">
                  <c:v>1998.67</c:v>
                </c:pt>
                <c:pt idx="618">
                  <c:v>1998.61</c:v>
                </c:pt>
                <c:pt idx="619">
                  <c:v>1998.61</c:v>
                </c:pt>
                <c:pt idx="620">
                  <c:v>1998.6</c:v>
                </c:pt>
                <c:pt idx="621">
                  <c:v>1998.57</c:v>
                </c:pt>
                <c:pt idx="622">
                  <c:v>1998.55</c:v>
                </c:pt>
                <c:pt idx="676">
                  <c:v>1998.49</c:v>
                </c:pt>
                <c:pt idx="677">
                  <c:v>1998.48</c:v>
                </c:pt>
                <c:pt idx="678">
                  <c:v>1998.48</c:v>
                </c:pt>
                <c:pt idx="679">
                  <c:v>1998.45</c:v>
                </c:pt>
                <c:pt idx="680">
                  <c:v>1998.46</c:v>
                </c:pt>
                <c:pt idx="681">
                  <c:v>1998.51</c:v>
                </c:pt>
                <c:pt idx="682">
                  <c:v>1998.54</c:v>
                </c:pt>
                <c:pt idx="683">
                  <c:v>1998.5</c:v>
                </c:pt>
                <c:pt idx="684">
                  <c:v>1998.46</c:v>
                </c:pt>
                <c:pt idx="685">
                  <c:v>1998.44</c:v>
                </c:pt>
                <c:pt idx="686">
                  <c:v>1998.44</c:v>
                </c:pt>
                <c:pt idx="687">
                  <c:v>1998.43</c:v>
                </c:pt>
                <c:pt idx="688">
                  <c:v>1998.44</c:v>
                </c:pt>
                <c:pt idx="689">
                  <c:v>1998.39</c:v>
                </c:pt>
                <c:pt idx="690">
                  <c:v>1998.37</c:v>
                </c:pt>
                <c:pt idx="691">
                  <c:v>1998.44</c:v>
                </c:pt>
                <c:pt idx="692">
                  <c:v>1998.45</c:v>
                </c:pt>
                <c:pt idx="693">
                  <c:v>1998.43</c:v>
                </c:pt>
                <c:pt idx="694">
                  <c:v>1998.41</c:v>
                </c:pt>
                <c:pt idx="695">
                  <c:v>1998.37</c:v>
                </c:pt>
                <c:pt idx="696">
                  <c:v>1998.38</c:v>
                </c:pt>
                <c:pt idx="697">
                  <c:v>1998.43</c:v>
                </c:pt>
                <c:pt idx="698">
                  <c:v>1998.42</c:v>
                </c:pt>
                <c:pt idx="699">
                  <c:v>1998.39</c:v>
                </c:pt>
                <c:pt idx="700">
                  <c:v>1998.39</c:v>
                </c:pt>
                <c:pt idx="701">
                  <c:v>1998.42</c:v>
                </c:pt>
                <c:pt idx="702">
                  <c:v>1998.44</c:v>
                </c:pt>
                <c:pt idx="703">
                  <c:v>1998.43</c:v>
                </c:pt>
                <c:pt idx="704">
                  <c:v>1998.42</c:v>
                </c:pt>
                <c:pt idx="705">
                  <c:v>1998.42</c:v>
                </c:pt>
                <c:pt idx="706">
                  <c:v>1998.41</c:v>
                </c:pt>
                <c:pt idx="707">
                  <c:v>1998.41</c:v>
                </c:pt>
                <c:pt idx="708">
                  <c:v>1998.4</c:v>
                </c:pt>
                <c:pt idx="709">
                  <c:v>1998.42</c:v>
                </c:pt>
                <c:pt idx="710">
                  <c:v>1998.43</c:v>
                </c:pt>
                <c:pt idx="711">
                  <c:v>1998.43</c:v>
                </c:pt>
                <c:pt idx="712">
                  <c:v>1998.42</c:v>
                </c:pt>
                <c:pt idx="713">
                  <c:v>1998.41</c:v>
                </c:pt>
                <c:pt idx="714">
                  <c:v>1998.43</c:v>
                </c:pt>
                <c:pt idx="715">
                  <c:v>1998.44</c:v>
                </c:pt>
                <c:pt idx="716">
                  <c:v>1998.41</c:v>
                </c:pt>
                <c:pt idx="717">
                  <c:v>1998.39</c:v>
                </c:pt>
                <c:pt idx="718">
                  <c:v>1998.39</c:v>
                </c:pt>
                <c:pt idx="719">
                  <c:v>1998.41</c:v>
                </c:pt>
                <c:pt idx="720">
                  <c:v>1998.41</c:v>
                </c:pt>
                <c:pt idx="721">
                  <c:v>1998.39</c:v>
                </c:pt>
                <c:pt idx="722">
                  <c:v>1998.38</c:v>
                </c:pt>
                <c:pt idx="723">
                  <c:v>1998.37</c:v>
                </c:pt>
                <c:pt idx="724">
                  <c:v>1998.39</c:v>
                </c:pt>
                <c:pt idx="725">
                  <c:v>1998.38</c:v>
                </c:pt>
                <c:pt idx="726">
                  <c:v>1998.38</c:v>
                </c:pt>
                <c:pt idx="727">
                  <c:v>1998.37</c:v>
                </c:pt>
                <c:pt idx="728">
                  <c:v>1998.38</c:v>
                </c:pt>
                <c:pt idx="729">
                  <c:v>1998.39</c:v>
                </c:pt>
                <c:pt idx="730">
                  <c:v>1998.37</c:v>
                </c:pt>
                <c:pt idx="731">
                  <c:v>1998.36</c:v>
                </c:pt>
                <c:pt idx="732">
                  <c:v>1998.37</c:v>
                </c:pt>
                <c:pt idx="733">
                  <c:v>1998.38</c:v>
                </c:pt>
                <c:pt idx="734">
                  <c:v>1998.36</c:v>
                </c:pt>
                <c:pt idx="735">
                  <c:v>1998.34</c:v>
                </c:pt>
                <c:pt idx="736">
                  <c:v>1998.33</c:v>
                </c:pt>
                <c:pt idx="737">
                  <c:v>1998.36</c:v>
                </c:pt>
                <c:pt idx="738">
                  <c:v>1998.34</c:v>
                </c:pt>
                <c:pt idx="739">
                  <c:v>1998.32</c:v>
                </c:pt>
                <c:pt idx="740">
                  <c:v>1998.28</c:v>
                </c:pt>
                <c:pt idx="741">
                  <c:v>1998.25</c:v>
                </c:pt>
                <c:pt idx="742">
                  <c:v>1998.22</c:v>
                </c:pt>
                <c:pt idx="743">
                  <c:v>1998.21</c:v>
                </c:pt>
                <c:pt idx="744">
                  <c:v>1998.22</c:v>
                </c:pt>
                <c:pt idx="745">
                  <c:v>1998.22</c:v>
                </c:pt>
                <c:pt idx="746">
                  <c:v>1998.29</c:v>
                </c:pt>
                <c:pt idx="747">
                  <c:v>1998.3</c:v>
                </c:pt>
                <c:pt idx="748">
                  <c:v>1998.3</c:v>
                </c:pt>
                <c:pt idx="749">
                  <c:v>1998.37</c:v>
                </c:pt>
                <c:pt idx="750">
                  <c:v>1998.56</c:v>
                </c:pt>
                <c:pt idx="751">
                  <c:v>1998.71</c:v>
                </c:pt>
                <c:pt idx="752">
                  <c:v>1998.69</c:v>
                </c:pt>
                <c:pt idx="753">
                  <c:v>1998.65</c:v>
                </c:pt>
                <c:pt idx="754">
                  <c:v>1998.61</c:v>
                </c:pt>
                <c:pt idx="755">
                  <c:v>1998.58</c:v>
                </c:pt>
                <c:pt idx="756">
                  <c:v>1998.56</c:v>
                </c:pt>
                <c:pt idx="757">
                  <c:v>1998.57</c:v>
                </c:pt>
                <c:pt idx="758">
                  <c:v>1998.56</c:v>
                </c:pt>
                <c:pt idx="759">
                  <c:v>1998.55</c:v>
                </c:pt>
                <c:pt idx="760">
                  <c:v>1998.53</c:v>
                </c:pt>
                <c:pt idx="761">
                  <c:v>1998.53</c:v>
                </c:pt>
                <c:pt idx="762">
                  <c:v>1998.52</c:v>
                </c:pt>
                <c:pt idx="763">
                  <c:v>1998.52</c:v>
                </c:pt>
                <c:pt idx="764">
                  <c:v>1998.53</c:v>
                </c:pt>
                <c:pt idx="765">
                  <c:v>1998.52</c:v>
                </c:pt>
                <c:pt idx="766">
                  <c:v>1998.52</c:v>
                </c:pt>
                <c:pt idx="767">
                  <c:v>1998.5</c:v>
                </c:pt>
                <c:pt idx="768">
                  <c:v>1998.46</c:v>
                </c:pt>
                <c:pt idx="769">
                  <c:v>1998.43</c:v>
                </c:pt>
                <c:pt idx="770">
                  <c:v>1998.42</c:v>
                </c:pt>
                <c:pt idx="771">
                  <c:v>1998.4</c:v>
                </c:pt>
                <c:pt idx="772">
                  <c:v>1998.37</c:v>
                </c:pt>
                <c:pt idx="773">
                  <c:v>1998.37</c:v>
                </c:pt>
                <c:pt idx="774">
                  <c:v>1998.34</c:v>
                </c:pt>
                <c:pt idx="775">
                  <c:v>1998.33</c:v>
                </c:pt>
                <c:pt idx="776">
                  <c:v>1998.31</c:v>
                </c:pt>
                <c:pt idx="777">
                  <c:v>1998.28</c:v>
                </c:pt>
                <c:pt idx="778">
                  <c:v>1998.26</c:v>
                </c:pt>
                <c:pt idx="779">
                  <c:v>1998.26</c:v>
                </c:pt>
                <c:pt idx="780">
                  <c:v>1998.26</c:v>
                </c:pt>
                <c:pt idx="781">
                  <c:v>1998.32</c:v>
                </c:pt>
                <c:pt idx="782">
                  <c:v>1998.29</c:v>
                </c:pt>
                <c:pt idx="783">
                  <c:v>1998.25</c:v>
                </c:pt>
                <c:pt idx="784">
                  <c:v>1998.23</c:v>
                </c:pt>
                <c:pt idx="785">
                  <c:v>1998.23</c:v>
                </c:pt>
                <c:pt idx="786">
                  <c:v>1998.24</c:v>
                </c:pt>
                <c:pt idx="787">
                  <c:v>1998.2</c:v>
                </c:pt>
                <c:pt idx="788">
                  <c:v>1998.16</c:v>
                </c:pt>
                <c:pt idx="789">
                  <c:v>1998.19</c:v>
                </c:pt>
                <c:pt idx="790">
                  <c:v>1998.21</c:v>
                </c:pt>
                <c:pt idx="791">
                  <c:v>1998.18</c:v>
                </c:pt>
                <c:pt idx="792">
                  <c:v>1998.16</c:v>
                </c:pt>
                <c:pt idx="793">
                  <c:v>1998.19</c:v>
                </c:pt>
                <c:pt idx="794">
                  <c:v>1998.18</c:v>
                </c:pt>
                <c:pt idx="795">
                  <c:v>1998.19</c:v>
                </c:pt>
                <c:pt idx="796">
                  <c:v>1998.22</c:v>
                </c:pt>
                <c:pt idx="797">
                  <c:v>1998.2</c:v>
                </c:pt>
                <c:pt idx="798">
                  <c:v>1998.19</c:v>
                </c:pt>
                <c:pt idx="799">
                  <c:v>1998.19</c:v>
                </c:pt>
                <c:pt idx="800">
                  <c:v>1998.21</c:v>
                </c:pt>
                <c:pt idx="801">
                  <c:v>1998.23</c:v>
                </c:pt>
                <c:pt idx="802">
                  <c:v>1998.22</c:v>
                </c:pt>
                <c:pt idx="803">
                  <c:v>1998.2</c:v>
                </c:pt>
                <c:pt idx="804">
                  <c:v>1998.21</c:v>
                </c:pt>
                <c:pt idx="805">
                  <c:v>1998.22</c:v>
                </c:pt>
                <c:pt idx="806">
                  <c:v>1998.2</c:v>
                </c:pt>
                <c:pt idx="807">
                  <c:v>1998.24</c:v>
                </c:pt>
                <c:pt idx="808">
                  <c:v>1998.24</c:v>
                </c:pt>
                <c:pt idx="809">
                  <c:v>1998.23</c:v>
                </c:pt>
                <c:pt idx="810">
                  <c:v>1998.23</c:v>
                </c:pt>
                <c:pt idx="811">
                  <c:v>1998.28</c:v>
                </c:pt>
                <c:pt idx="812">
                  <c:v>1998.32</c:v>
                </c:pt>
                <c:pt idx="813">
                  <c:v>1998.3</c:v>
                </c:pt>
                <c:pt idx="814">
                  <c:v>1998.29</c:v>
                </c:pt>
                <c:pt idx="815">
                  <c:v>1998.28</c:v>
                </c:pt>
                <c:pt idx="816">
                  <c:v>1998.29</c:v>
                </c:pt>
                <c:pt idx="817">
                  <c:v>1998.24</c:v>
                </c:pt>
                <c:pt idx="818">
                  <c:v>1998.23</c:v>
                </c:pt>
                <c:pt idx="819">
                  <c:v>1998.2</c:v>
                </c:pt>
                <c:pt idx="820">
                  <c:v>1998.21</c:v>
                </c:pt>
                <c:pt idx="821">
                  <c:v>1998.19</c:v>
                </c:pt>
                <c:pt idx="822">
                  <c:v>1998.2</c:v>
                </c:pt>
                <c:pt idx="823">
                  <c:v>1998.2</c:v>
                </c:pt>
                <c:pt idx="824">
                  <c:v>1998.19</c:v>
                </c:pt>
                <c:pt idx="825">
                  <c:v>1998.19</c:v>
                </c:pt>
                <c:pt idx="826">
                  <c:v>1998.19</c:v>
                </c:pt>
                <c:pt idx="827">
                  <c:v>1998.21</c:v>
                </c:pt>
                <c:pt idx="828">
                  <c:v>1998.2</c:v>
                </c:pt>
                <c:pt idx="829">
                  <c:v>1998.23</c:v>
                </c:pt>
                <c:pt idx="830">
                  <c:v>1998.21</c:v>
                </c:pt>
                <c:pt idx="831">
                  <c:v>1998.2</c:v>
                </c:pt>
                <c:pt idx="832">
                  <c:v>1998.18</c:v>
                </c:pt>
                <c:pt idx="833">
                  <c:v>1998.17</c:v>
                </c:pt>
                <c:pt idx="834">
                  <c:v>1998.21</c:v>
                </c:pt>
                <c:pt idx="835">
                  <c:v>1998.23</c:v>
                </c:pt>
                <c:pt idx="836">
                  <c:v>1998.19</c:v>
                </c:pt>
                <c:pt idx="837">
                  <c:v>1998.19</c:v>
                </c:pt>
                <c:pt idx="838">
                  <c:v>1998.18</c:v>
                </c:pt>
                <c:pt idx="839">
                  <c:v>1998.18</c:v>
                </c:pt>
                <c:pt idx="840">
                  <c:v>1998.18</c:v>
                </c:pt>
                <c:pt idx="841">
                  <c:v>1998.17</c:v>
                </c:pt>
                <c:pt idx="842">
                  <c:v>1998.16</c:v>
                </c:pt>
                <c:pt idx="843">
                  <c:v>1998.21</c:v>
                </c:pt>
                <c:pt idx="844">
                  <c:v>1998.3</c:v>
                </c:pt>
                <c:pt idx="845">
                  <c:v>1998.35</c:v>
                </c:pt>
                <c:pt idx="846">
                  <c:v>1998.32</c:v>
                </c:pt>
                <c:pt idx="847">
                  <c:v>1998.26</c:v>
                </c:pt>
                <c:pt idx="848">
                  <c:v>1998.26</c:v>
                </c:pt>
                <c:pt idx="849">
                  <c:v>1998.22</c:v>
                </c:pt>
                <c:pt idx="850">
                  <c:v>1998.21</c:v>
                </c:pt>
                <c:pt idx="851">
                  <c:v>1998.23</c:v>
                </c:pt>
                <c:pt idx="852">
                  <c:v>1998.18</c:v>
                </c:pt>
                <c:pt idx="853">
                  <c:v>1998.24</c:v>
                </c:pt>
                <c:pt idx="854">
                  <c:v>1998.21</c:v>
                </c:pt>
                <c:pt idx="855">
                  <c:v>1998.2</c:v>
                </c:pt>
                <c:pt idx="856">
                  <c:v>1998.18</c:v>
                </c:pt>
                <c:pt idx="857">
                  <c:v>1998.2</c:v>
                </c:pt>
                <c:pt idx="858">
                  <c:v>1998.15</c:v>
                </c:pt>
                <c:pt idx="859">
                  <c:v>1998.16</c:v>
                </c:pt>
                <c:pt idx="860">
                  <c:v>1998.2</c:v>
                </c:pt>
                <c:pt idx="861">
                  <c:v>1998.2</c:v>
                </c:pt>
                <c:pt idx="862">
                  <c:v>1998.2</c:v>
                </c:pt>
                <c:pt idx="863">
                  <c:v>1998.21</c:v>
                </c:pt>
                <c:pt idx="864">
                  <c:v>1998.14</c:v>
                </c:pt>
                <c:pt idx="865">
                  <c:v>1998.04</c:v>
                </c:pt>
                <c:pt idx="866">
                  <c:v>1998.15</c:v>
                </c:pt>
                <c:pt idx="867">
                  <c:v>1998.15</c:v>
                </c:pt>
                <c:pt idx="868">
                  <c:v>1998.16</c:v>
                </c:pt>
                <c:pt idx="869">
                  <c:v>1998.14</c:v>
                </c:pt>
                <c:pt idx="870">
                  <c:v>1998.16</c:v>
                </c:pt>
                <c:pt idx="871">
                  <c:v>1998.14</c:v>
                </c:pt>
                <c:pt idx="872">
                  <c:v>1998.07</c:v>
                </c:pt>
                <c:pt idx="873">
                  <c:v>1998.09</c:v>
                </c:pt>
                <c:pt idx="874">
                  <c:v>1998.09</c:v>
                </c:pt>
                <c:pt idx="875">
                  <c:v>1998.09</c:v>
                </c:pt>
                <c:pt idx="876">
                  <c:v>1998.04</c:v>
                </c:pt>
                <c:pt idx="877">
                  <c:v>1998.05</c:v>
                </c:pt>
                <c:pt idx="878">
                  <c:v>1998.03</c:v>
                </c:pt>
                <c:pt idx="879">
                  <c:v>1998.02</c:v>
                </c:pt>
                <c:pt idx="880">
                  <c:v>1998.01</c:v>
                </c:pt>
                <c:pt idx="881">
                  <c:v>1997.98</c:v>
                </c:pt>
                <c:pt idx="882">
                  <c:v>1997.99</c:v>
                </c:pt>
                <c:pt idx="883">
                  <c:v>1998.11</c:v>
                </c:pt>
                <c:pt idx="884">
                  <c:v>1998.15</c:v>
                </c:pt>
                <c:pt idx="885">
                  <c:v>1998.14</c:v>
                </c:pt>
                <c:pt idx="886">
                  <c:v>1998.1</c:v>
                </c:pt>
                <c:pt idx="887">
                  <c:v>1998.11</c:v>
                </c:pt>
                <c:pt idx="888">
                  <c:v>1998.09</c:v>
                </c:pt>
                <c:pt idx="889">
                  <c:v>1997.99</c:v>
                </c:pt>
                <c:pt idx="890">
                  <c:v>1997.99</c:v>
                </c:pt>
                <c:pt idx="891">
                  <c:v>1997.96</c:v>
                </c:pt>
                <c:pt idx="892">
                  <c:v>1997.99</c:v>
                </c:pt>
                <c:pt idx="893">
                  <c:v>1998.05</c:v>
                </c:pt>
                <c:pt idx="894">
                  <c:v>1998.05</c:v>
                </c:pt>
                <c:pt idx="895">
                  <c:v>1998.08</c:v>
                </c:pt>
                <c:pt idx="896">
                  <c:v>1998.02</c:v>
                </c:pt>
                <c:pt idx="897">
                  <c:v>1998.18</c:v>
                </c:pt>
                <c:pt idx="898">
                  <c:v>1998.23</c:v>
                </c:pt>
                <c:pt idx="899">
                  <c:v>1998.2</c:v>
                </c:pt>
                <c:pt idx="900">
                  <c:v>1998.16</c:v>
                </c:pt>
                <c:pt idx="901">
                  <c:v>1998.11</c:v>
                </c:pt>
                <c:pt idx="902">
                  <c:v>1998.07</c:v>
                </c:pt>
                <c:pt idx="903">
                  <c:v>1998.05</c:v>
                </c:pt>
                <c:pt idx="904">
                  <c:v>1998.03</c:v>
                </c:pt>
                <c:pt idx="905">
                  <c:v>1998.05</c:v>
                </c:pt>
                <c:pt idx="906">
                  <c:v>1998.01</c:v>
                </c:pt>
                <c:pt idx="907">
                  <c:v>1998.02</c:v>
                </c:pt>
                <c:pt idx="908">
                  <c:v>1998.02</c:v>
                </c:pt>
                <c:pt idx="909">
                  <c:v>1998.0</c:v>
                </c:pt>
                <c:pt idx="910">
                  <c:v>1998.03</c:v>
                </c:pt>
                <c:pt idx="911">
                  <c:v>1998.03</c:v>
                </c:pt>
                <c:pt idx="912">
                  <c:v>1998.0</c:v>
                </c:pt>
                <c:pt idx="913">
                  <c:v>1998.03</c:v>
                </c:pt>
                <c:pt idx="914">
                  <c:v>1998.03</c:v>
                </c:pt>
                <c:pt idx="915">
                  <c:v>1998.04</c:v>
                </c:pt>
                <c:pt idx="916">
                  <c:v>1998.04</c:v>
                </c:pt>
                <c:pt idx="917">
                  <c:v>1998.01</c:v>
                </c:pt>
                <c:pt idx="918">
                  <c:v>1998.02</c:v>
                </c:pt>
                <c:pt idx="919">
                  <c:v>1998.01</c:v>
                </c:pt>
                <c:pt idx="920">
                  <c:v>1998.04</c:v>
                </c:pt>
                <c:pt idx="921">
                  <c:v>1998.07</c:v>
                </c:pt>
                <c:pt idx="922">
                  <c:v>1998.01</c:v>
                </c:pt>
                <c:pt idx="923">
                  <c:v>1997.98</c:v>
                </c:pt>
                <c:pt idx="924">
                  <c:v>1997.96</c:v>
                </c:pt>
                <c:pt idx="925">
                  <c:v>1997.99</c:v>
                </c:pt>
                <c:pt idx="926">
                  <c:v>1998.03</c:v>
                </c:pt>
                <c:pt idx="927">
                  <c:v>1998.06</c:v>
                </c:pt>
                <c:pt idx="928">
                  <c:v>1998.02</c:v>
                </c:pt>
                <c:pt idx="929">
                  <c:v>1997.99</c:v>
                </c:pt>
                <c:pt idx="930">
                  <c:v>1998.01</c:v>
                </c:pt>
                <c:pt idx="931">
                  <c:v>1997.99</c:v>
                </c:pt>
                <c:pt idx="932">
                  <c:v>1998.0</c:v>
                </c:pt>
                <c:pt idx="933">
                  <c:v>1997.97</c:v>
                </c:pt>
                <c:pt idx="934">
                  <c:v>1997.97</c:v>
                </c:pt>
                <c:pt idx="935">
                  <c:v>1998.0</c:v>
                </c:pt>
                <c:pt idx="936">
                  <c:v>1997.97</c:v>
                </c:pt>
                <c:pt idx="937">
                  <c:v>1998.01</c:v>
                </c:pt>
                <c:pt idx="938">
                  <c:v>1997.97</c:v>
                </c:pt>
                <c:pt idx="939">
                  <c:v>1997.94</c:v>
                </c:pt>
                <c:pt idx="940">
                  <c:v>1997.95</c:v>
                </c:pt>
                <c:pt idx="941">
                  <c:v>1997.96</c:v>
                </c:pt>
                <c:pt idx="942">
                  <c:v>1997.93</c:v>
                </c:pt>
                <c:pt idx="943">
                  <c:v>1997.89</c:v>
                </c:pt>
                <c:pt idx="944">
                  <c:v>1997.99</c:v>
                </c:pt>
                <c:pt idx="945">
                  <c:v>1997.96</c:v>
                </c:pt>
                <c:pt idx="946">
                  <c:v>1997.89</c:v>
                </c:pt>
                <c:pt idx="947">
                  <c:v>1997.88</c:v>
                </c:pt>
                <c:pt idx="948">
                  <c:v>1997.93</c:v>
                </c:pt>
                <c:pt idx="949">
                  <c:v>1997.84</c:v>
                </c:pt>
                <c:pt idx="950">
                  <c:v>1997.88</c:v>
                </c:pt>
              </c:numCache>
            </c:numRef>
          </c:val>
          <c:smooth val="1"/>
        </c:ser>
        <c:marker val="1"/>
        <c:axId val="683813816"/>
        <c:axId val="610172728"/>
      </c:lineChart>
      <c:lineChart>
        <c:grouping val="standard"/>
        <c:ser>
          <c:idx val="1"/>
          <c:order val="1"/>
          <c:tx>
            <c:strRef>
              <c:f>Sheet3!$C$1</c:f>
              <c:strCache>
                <c:ptCount val="1"/>
                <c:pt idx="0">
                  <c:v>700 Springs</c:v>
                </c:pt>
              </c:strCache>
            </c:strRef>
          </c:tx>
          <c:marker>
            <c:spPr>
              <a:scene3d>
                <a:camera prst="orthographicFront"/>
                <a:lightRig rig="threePt" dir="t"/>
              </a:scene3d>
              <a:sp3d>
                <a:bevelT h="63500"/>
              </a:sp3d>
            </c:spPr>
          </c:marker>
          <c:cat>
            <c:numRef>
              <c:f>Sheet3!$A$2:$A$952</c:f>
              <c:numCache>
                <c:formatCode>m/d/yy</c:formatCode>
                <c:ptCount val="951"/>
                <c:pt idx="0">
                  <c:v>38534.0</c:v>
                </c:pt>
                <c:pt idx="1">
                  <c:v>38535.0</c:v>
                </c:pt>
                <c:pt idx="2">
                  <c:v>38536.0</c:v>
                </c:pt>
                <c:pt idx="3">
                  <c:v>38537.0</c:v>
                </c:pt>
                <c:pt idx="4">
                  <c:v>38538.0</c:v>
                </c:pt>
                <c:pt idx="5">
                  <c:v>38539.0</c:v>
                </c:pt>
                <c:pt idx="6">
                  <c:v>38540.0</c:v>
                </c:pt>
                <c:pt idx="7">
                  <c:v>38541.0</c:v>
                </c:pt>
                <c:pt idx="8">
                  <c:v>38542.0</c:v>
                </c:pt>
                <c:pt idx="9">
                  <c:v>38543.0</c:v>
                </c:pt>
                <c:pt idx="10">
                  <c:v>38544.0</c:v>
                </c:pt>
                <c:pt idx="11">
                  <c:v>38545.0</c:v>
                </c:pt>
                <c:pt idx="12">
                  <c:v>38546.0</c:v>
                </c:pt>
                <c:pt idx="13">
                  <c:v>38547.0</c:v>
                </c:pt>
                <c:pt idx="14">
                  <c:v>38548.0</c:v>
                </c:pt>
                <c:pt idx="15">
                  <c:v>38549.0</c:v>
                </c:pt>
                <c:pt idx="16">
                  <c:v>38550.0</c:v>
                </c:pt>
                <c:pt idx="17">
                  <c:v>38551.0</c:v>
                </c:pt>
                <c:pt idx="18">
                  <c:v>38552.0</c:v>
                </c:pt>
                <c:pt idx="19">
                  <c:v>38553.0</c:v>
                </c:pt>
                <c:pt idx="20">
                  <c:v>38554.0</c:v>
                </c:pt>
                <c:pt idx="21">
                  <c:v>38555.0</c:v>
                </c:pt>
                <c:pt idx="22">
                  <c:v>38556.0</c:v>
                </c:pt>
                <c:pt idx="23">
                  <c:v>38557.0</c:v>
                </c:pt>
                <c:pt idx="24">
                  <c:v>38558.0</c:v>
                </c:pt>
                <c:pt idx="25">
                  <c:v>38559.0</c:v>
                </c:pt>
                <c:pt idx="26">
                  <c:v>38560.0</c:v>
                </c:pt>
                <c:pt idx="27">
                  <c:v>38561.0</c:v>
                </c:pt>
                <c:pt idx="28">
                  <c:v>38562.0</c:v>
                </c:pt>
                <c:pt idx="29">
                  <c:v>38563.0</c:v>
                </c:pt>
                <c:pt idx="30">
                  <c:v>38564.0</c:v>
                </c:pt>
                <c:pt idx="31">
                  <c:v>38565.0</c:v>
                </c:pt>
                <c:pt idx="32">
                  <c:v>38566.0</c:v>
                </c:pt>
                <c:pt idx="33">
                  <c:v>38567.0</c:v>
                </c:pt>
                <c:pt idx="34">
                  <c:v>38568.0</c:v>
                </c:pt>
                <c:pt idx="35">
                  <c:v>38569.0</c:v>
                </c:pt>
                <c:pt idx="36">
                  <c:v>38570.0</c:v>
                </c:pt>
                <c:pt idx="37">
                  <c:v>38571.0</c:v>
                </c:pt>
                <c:pt idx="38">
                  <c:v>38572.0</c:v>
                </c:pt>
                <c:pt idx="39">
                  <c:v>38573.0</c:v>
                </c:pt>
                <c:pt idx="40">
                  <c:v>38574.0</c:v>
                </c:pt>
                <c:pt idx="41">
                  <c:v>38575.0</c:v>
                </c:pt>
                <c:pt idx="42">
                  <c:v>38577.0</c:v>
                </c:pt>
                <c:pt idx="43">
                  <c:v>38578.0</c:v>
                </c:pt>
                <c:pt idx="44">
                  <c:v>38579.0</c:v>
                </c:pt>
                <c:pt idx="45">
                  <c:v>38580.0</c:v>
                </c:pt>
                <c:pt idx="46">
                  <c:v>38581.0</c:v>
                </c:pt>
                <c:pt idx="47">
                  <c:v>38582.0</c:v>
                </c:pt>
                <c:pt idx="48">
                  <c:v>38583.0</c:v>
                </c:pt>
                <c:pt idx="49">
                  <c:v>38584.0</c:v>
                </c:pt>
                <c:pt idx="50">
                  <c:v>38585.0</c:v>
                </c:pt>
                <c:pt idx="51">
                  <c:v>38586.0</c:v>
                </c:pt>
                <c:pt idx="52">
                  <c:v>38587.0</c:v>
                </c:pt>
                <c:pt idx="53">
                  <c:v>38588.0</c:v>
                </c:pt>
                <c:pt idx="54">
                  <c:v>38589.0</c:v>
                </c:pt>
                <c:pt idx="55">
                  <c:v>38590.0</c:v>
                </c:pt>
                <c:pt idx="56">
                  <c:v>38591.0</c:v>
                </c:pt>
                <c:pt idx="57">
                  <c:v>38592.0</c:v>
                </c:pt>
                <c:pt idx="58">
                  <c:v>38593.0</c:v>
                </c:pt>
                <c:pt idx="59">
                  <c:v>38594.0</c:v>
                </c:pt>
                <c:pt idx="60">
                  <c:v>38595.0</c:v>
                </c:pt>
                <c:pt idx="61">
                  <c:v>38596.0</c:v>
                </c:pt>
                <c:pt idx="62">
                  <c:v>38597.0</c:v>
                </c:pt>
                <c:pt idx="63">
                  <c:v>38598.0</c:v>
                </c:pt>
                <c:pt idx="64">
                  <c:v>38599.0</c:v>
                </c:pt>
                <c:pt idx="65">
                  <c:v>38600.0</c:v>
                </c:pt>
                <c:pt idx="66">
                  <c:v>38601.0</c:v>
                </c:pt>
                <c:pt idx="67">
                  <c:v>38602.0</c:v>
                </c:pt>
                <c:pt idx="68">
                  <c:v>38603.0</c:v>
                </c:pt>
                <c:pt idx="69">
                  <c:v>38604.0</c:v>
                </c:pt>
                <c:pt idx="70">
                  <c:v>38605.0</c:v>
                </c:pt>
                <c:pt idx="71">
                  <c:v>38606.0</c:v>
                </c:pt>
                <c:pt idx="72">
                  <c:v>38607.0</c:v>
                </c:pt>
                <c:pt idx="73">
                  <c:v>38608.0</c:v>
                </c:pt>
                <c:pt idx="74">
                  <c:v>38609.0</c:v>
                </c:pt>
                <c:pt idx="75">
                  <c:v>38610.0</c:v>
                </c:pt>
                <c:pt idx="76">
                  <c:v>38611.0</c:v>
                </c:pt>
                <c:pt idx="77">
                  <c:v>38612.0</c:v>
                </c:pt>
                <c:pt idx="78">
                  <c:v>38613.0</c:v>
                </c:pt>
                <c:pt idx="79">
                  <c:v>38614.0</c:v>
                </c:pt>
                <c:pt idx="80">
                  <c:v>38615.0</c:v>
                </c:pt>
                <c:pt idx="81">
                  <c:v>38616.0</c:v>
                </c:pt>
                <c:pt idx="82">
                  <c:v>38617.0</c:v>
                </c:pt>
                <c:pt idx="83">
                  <c:v>38618.0</c:v>
                </c:pt>
                <c:pt idx="84">
                  <c:v>38619.0</c:v>
                </c:pt>
                <c:pt idx="85">
                  <c:v>38620.0</c:v>
                </c:pt>
                <c:pt idx="86">
                  <c:v>38621.0</c:v>
                </c:pt>
                <c:pt idx="87">
                  <c:v>38622.0</c:v>
                </c:pt>
                <c:pt idx="88">
                  <c:v>38623.0</c:v>
                </c:pt>
                <c:pt idx="89">
                  <c:v>38624.0</c:v>
                </c:pt>
                <c:pt idx="90">
                  <c:v>38625.0</c:v>
                </c:pt>
                <c:pt idx="91">
                  <c:v>38626.0</c:v>
                </c:pt>
                <c:pt idx="92">
                  <c:v>38627.0</c:v>
                </c:pt>
                <c:pt idx="93">
                  <c:v>38628.0</c:v>
                </c:pt>
                <c:pt idx="94">
                  <c:v>38629.0</c:v>
                </c:pt>
                <c:pt idx="95">
                  <c:v>38630.0</c:v>
                </c:pt>
                <c:pt idx="96">
                  <c:v>38631.0</c:v>
                </c:pt>
                <c:pt idx="97">
                  <c:v>38632.0</c:v>
                </c:pt>
                <c:pt idx="98">
                  <c:v>38633.0</c:v>
                </c:pt>
                <c:pt idx="99">
                  <c:v>38634.0</c:v>
                </c:pt>
                <c:pt idx="100">
                  <c:v>38635.0</c:v>
                </c:pt>
                <c:pt idx="101">
                  <c:v>38636.0</c:v>
                </c:pt>
                <c:pt idx="102">
                  <c:v>38637.0</c:v>
                </c:pt>
                <c:pt idx="103">
                  <c:v>38638.0</c:v>
                </c:pt>
                <c:pt idx="104">
                  <c:v>38639.0</c:v>
                </c:pt>
                <c:pt idx="105">
                  <c:v>38640.0</c:v>
                </c:pt>
                <c:pt idx="106">
                  <c:v>38641.0</c:v>
                </c:pt>
                <c:pt idx="107">
                  <c:v>38642.0</c:v>
                </c:pt>
                <c:pt idx="108">
                  <c:v>38643.0</c:v>
                </c:pt>
                <c:pt idx="109">
                  <c:v>38644.0</c:v>
                </c:pt>
                <c:pt idx="110">
                  <c:v>38645.0</c:v>
                </c:pt>
                <c:pt idx="111">
                  <c:v>38646.0</c:v>
                </c:pt>
                <c:pt idx="112">
                  <c:v>38647.0</c:v>
                </c:pt>
                <c:pt idx="113">
                  <c:v>38648.0</c:v>
                </c:pt>
                <c:pt idx="114">
                  <c:v>38649.0</c:v>
                </c:pt>
                <c:pt idx="115">
                  <c:v>38650.0</c:v>
                </c:pt>
                <c:pt idx="116">
                  <c:v>38651.0</c:v>
                </c:pt>
                <c:pt idx="117">
                  <c:v>38652.0</c:v>
                </c:pt>
                <c:pt idx="118">
                  <c:v>38653.0</c:v>
                </c:pt>
                <c:pt idx="119">
                  <c:v>38654.0</c:v>
                </c:pt>
                <c:pt idx="120">
                  <c:v>38655.0</c:v>
                </c:pt>
                <c:pt idx="121">
                  <c:v>38656.0</c:v>
                </c:pt>
                <c:pt idx="122">
                  <c:v>38657.0</c:v>
                </c:pt>
                <c:pt idx="123">
                  <c:v>38658.0</c:v>
                </c:pt>
                <c:pt idx="124">
                  <c:v>38659.0</c:v>
                </c:pt>
                <c:pt idx="125">
                  <c:v>38660.0</c:v>
                </c:pt>
                <c:pt idx="126">
                  <c:v>38661.0</c:v>
                </c:pt>
                <c:pt idx="127">
                  <c:v>38662.0</c:v>
                </c:pt>
                <c:pt idx="128">
                  <c:v>38663.0</c:v>
                </c:pt>
                <c:pt idx="129">
                  <c:v>38664.0</c:v>
                </c:pt>
                <c:pt idx="130">
                  <c:v>38665.0</c:v>
                </c:pt>
                <c:pt idx="131">
                  <c:v>38666.0</c:v>
                </c:pt>
                <c:pt idx="132">
                  <c:v>38667.0</c:v>
                </c:pt>
                <c:pt idx="133">
                  <c:v>38668.0</c:v>
                </c:pt>
                <c:pt idx="134">
                  <c:v>38669.0</c:v>
                </c:pt>
                <c:pt idx="135">
                  <c:v>38670.0</c:v>
                </c:pt>
                <c:pt idx="136">
                  <c:v>38671.0</c:v>
                </c:pt>
                <c:pt idx="137">
                  <c:v>38672.0</c:v>
                </c:pt>
                <c:pt idx="138">
                  <c:v>38673.0</c:v>
                </c:pt>
                <c:pt idx="139">
                  <c:v>38674.0</c:v>
                </c:pt>
                <c:pt idx="140">
                  <c:v>38675.0</c:v>
                </c:pt>
                <c:pt idx="141">
                  <c:v>38676.0</c:v>
                </c:pt>
                <c:pt idx="142">
                  <c:v>38677.0</c:v>
                </c:pt>
                <c:pt idx="143">
                  <c:v>38678.0</c:v>
                </c:pt>
                <c:pt idx="144">
                  <c:v>38679.0</c:v>
                </c:pt>
                <c:pt idx="145">
                  <c:v>38680.0</c:v>
                </c:pt>
                <c:pt idx="146">
                  <c:v>38681.0</c:v>
                </c:pt>
                <c:pt idx="147">
                  <c:v>38682.0</c:v>
                </c:pt>
                <c:pt idx="148">
                  <c:v>38683.0</c:v>
                </c:pt>
                <c:pt idx="149">
                  <c:v>38684.0</c:v>
                </c:pt>
                <c:pt idx="150">
                  <c:v>38685.0</c:v>
                </c:pt>
                <c:pt idx="151">
                  <c:v>38686.0</c:v>
                </c:pt>
                <c:pt idx="152">
                  <c:v>38687.0</c:v>
                </c:pt>
                <c:pt idx="153">
                  <c:v>38688.0</c:v>
                </c:pt>
                <c:pt idx="154">
                  <c:v>38689.0</c:v>
                </c:pt>
                <c:pt idx="155">
                  <c:v>38690.0</c:v>
                </c:pt>
                <c:pt idx="156">
                  <c:v>38691.0</c:v>
                </c:pt>
                <c:pt idx="157">
                  <c:v>38692.0</c:v>
                </c:pt>
                <c:pt idx="158">
                  <c:v>38693.0</c:v>
                </c:pt>
                <c:pt idx="159">
                  <c:v>38694.0</c:v>
                </c:pt>
                <c:pt idx="160">
                  <c:v>38695.0</c:v>
                </c:pt>
                <c:pt idx="161">
                  <c:v>38696.0</c:v>
                </c:pt>
                <c:pt idx="162">
                  <c:v>38697.0</c:v>
                </c:pt>
                <c:pt idx="163">
                  <c:v>38698.0</c:v>
                </c:pt>
                <c:pt idx="164">
                  <c:v>38699.0</c:v>
                </c:pt>
                <c:pt idx="165">
                  <c:v>38700.0</c:v>
                </c:pt>
                <c:pt idx="166">
                  <c:v>38701.0</c:v>
                </c:pt>
                <c:pt idx="167">
                  <c:v>38702.0</c:v>
                </c:pt>
                <c:pt idx="168">
                  <c:v>38703.0</c:v>
                </c:pt>
                <c:pt idx="169">
                  <c:v>38704.0</c:v>
                </c:pt>
                <c:pt idx="170">
                  <c:v>38705.0</c:v>
                </c:pt>
                <c:pt idx="171">
                  <c:v>38706.0</c:v>
                </c:pt>
                <c:pt idx="172">
                  <c:v>38707.0</c:v>
                </c:pt>
                <c:pt idx="173">
                  <c:v>38708.0</c:v>
                </c:pt>
                <c:pt idx="174">
                  <c:v>38709.0</c:v>
                </c:pt>
                <c:pt idx="175">
                  <c:v>38710.0</c:v>
                </c:pt>
                <c:pt idx="176">
                  <c:v>38711.0</c:v>
                </c:pt>
                <c:pt idx="177">
                  <c:v>38712.0</c:v>
                </c:pt>
                <c:pt idx="178">
                  <c:v>38713.0</c:v>
                </c:pt>
                <c:pt idx="179">
                  <c:v>38714.0</c:v>
                </c:pt>
                <c:pt idx="180">
                  <c:v>38715.0</c:v>
                </c:pt>
                <c:pt idx="181">
                  <c:v>38716.0</c:v>
                </c:pt>
                <c:pt idx="182">
                  <c:v>38717.0</c:v>
                </c:pt>
                <c:pt idx="183">
                  <c:v>38718.0</c:v>
                </c:pt>
                <c:pt idx="184">
                  <c:v>38719.0</c:v>
                </c:pt>
                <c:pt idx="185">
                  <c:v>38720.0</c:v>
                </c:pt>
                <c:pt idx="186">
                  <c:v>38721.0</c:v>
                </c:pt>
                <c:pt idx="187">
                  <c:v>38722.0</c:v>
                </c:pt>
                <c:pt idx="188">
                  <c:v>38723.0</c:v>
                </c:pt>
                <c:pt idx="189">
                  <c:v>38724.0</c:v>
                </c:pt>
                <c:pt idx="190">
                  <c:v>38725.0</c:v>
                </c:pt>
                <c:pt idx="191">
                  <c:v>38726.0</c:v>
                </c:pt>
                <c:pt idx="192">
                  <c:v>38727.0</c:v>
                </c:pt>
                <c:pt idx="193">
                  <c:v>38728.0</c:v>
                </c:pt>
                <c:pt idx="194">
                  <c:v>38729.0</c:v>
                </c:pt>
                <c:pt idx="195">
                  <c:v>38730.0</c:v>
                </c:pt>
                <c:pt idx="196">
                  <c:v>38731.0</c:v>
                </c:pt>
                <c:pt idx="197">
                  <c:v>38732.0</c:v>
                </c:pt>
                <c:pt idx="198">
                  <c:v>38733.0</c:v>
                </c:pt>
                <c:pt idx="199">
                  <c:v>38734.0</c:v>
                </c:pt>
                <c:pt idx="200">
                  <c:v>38735.0</c:v>
                </c:pt>
                <c:pt idx="201">
                  <c:v>38736.0</c:v>
                </c:pt>
                <c:pt idx="202">
                  <c:v>38737.0</c:v>
                </c:pt>
                <c:pt idx="203">
                  <c:v>38738.0</c:v>
                </c:pt>
                <c:pt idx="204">
                  <c:v>38739.0</c:v>
                </c:pt>
                <c:pt idx="205">
                  <c:v>38740.0</c:v>
                </c:pt>
                <c:pt idx="206">
                  <c:v>38741.0</c:v>
                </c:pt>
                <c:pt idx="207">
                  <c:v>38742.0</c:v>
                </c:pt>
                <c:pt idx="208">
                  <c:v>38743.0</c:v>
                </c:pt>
                <c:pt idx="209">
                  <c:v>38744.0</c:v>
                </c:pt>
                <c:pt idx="210">
                  <c:v>38745.0</c:v>
                </c:pt>
                <c:pt idx="211">
                  <c:v>38746.0</c:v>
                </c:pt>
                <c:pt idx="212">
                  <c:v>38747.0</c:v>
                </c:pt>
                <c:pt idx="213">
                  <c:v>38748.0</c:v>
                </c:pt>
                <c:pt idx="214">
                  <c:v>38749.0</c:v>
                </c:pt>
                <c:pt idx="215">
                  <c:v>38750.0</c:v>
                </c:pt>
                <c:pt idx="216">
                  <c:v>38751.0</c:v>
                </c:pt>
                <c:pt idx="217">
                  <c:v>38752.0</c:v>
                </c:pt>
                <c:pt idx="218">
                  <c:v>38753.0</c:v>
                </c:pt>
                <c:pt idx="219">
                  <c:v>38754.0</c:v>
                </c:pt>
                <c:pt idx="220">
                  <c:v>38755.0</c:v>
                </c:pt>
                <c:pt idx="221">
                  <c:v>38756.0</c:v>
                </c:pt>
                <c:pt idx="222">
                  <c:v>38757.0</c:v>
                </c:pt>
                <c:pt idx="223">
                  <c:v>38758.0</c:v>
                </c:pt>
                <c:pt idx="224">
                  <c:v>38759.0</c:v>
                </c:pt>
                <c:pt idx="225">
                  <c:v>38760.0</c:v>
                </c:pt>
                <c:pt idx="226">
                  <c:v>38761.0</c:v>
                </c:pt>
                <c:pt idx="227">
                  <c:v>38762.0</c:v>
                </c:pt>
                <c:pt idx="228">
                  <c:v>38763.0</c:v>
                </c:pt>
                <c:pt idx="229">
                  <c:v>38764.0</c:v>
                </c:pt>
                <c:pt idx="230">
                  <c:v>38765.0</c:v>
                </c:pt>
                <c:pt idx="231">
                  <c:v>38766.0</c:v>
                </c:pt>
                <c:pt idx="232">
                  <c:v>38767.0</c:v>
                </c:pt>
                <c:pt idx="233">
                  <c:v>38768.0</c:v>
                </c:pt>
                <c:pt idx="234">
                  <c:v>38769.0</c:v>
                </c:pt>
                <c:pt idx="235">
                  <c:v>38770.0</c:v>
                </c:pt>
                <c:pt idx="236">
                  <c:v>38771.0</c:v>
                </c:pt>
                <c:pt idx="237">
                  <c:v>38772.0</c:v>
                </c:pt>
                <c:pt idx="238">
                  <c:v>38773.0</c:v>
                </c:pt>
                <c:pt idx="239">
                  <c:v>38774.0</c:v>
                </c:pt>
                <c:pt idx="240">
                  <c:v>38775.0</c:v>
                </c:pt>
                <c:pt idx="241">
                  <c:v>38776.0</c:v>
                </c:pt>
                <c:pt idx="242">
                  <c:v>38777.0</c:v>
                </c:pt>
                <c:pt idx="243">
                  <c:v>38778.0</c:v>
                </c:pt>
                <c:pt idx="244">
                  <c:v>38779.0</c:v>
                </c:pt>
                <c:pt idx="245">
                  <c:v>38780.0</c:v>
                </c:pt>
                <c:pt idx="246">
                  <c:v>38781.0</c:v>
                </c:pt>
                <c:pt idx="247">
                  <c:v>38782.0</c:v>
                </c:pt>
                <c:pt idx="248">
                  <c:v>38783.0</c:v>
                </c:pt>
                <c:pt idx="249">
                  <c:v>38784.0</c:v>
                </c:pt>
                <c:pt idx="250">
                  <c:v>38785.0</c:v>
                </c:pt>
                <c:pt idx="251">
                  <c:v>38786.0</c:v>
                </c:pt>
                <c:pt idx="252">
                  <c:v>38787.0</c:v>
                </c:pt>
                <c:pt idx="253">
                  <c:v>38788.0</c:v>
                </c:pt>
                <c:pt idx="254">
                  <c:v>38789.0</c:v>
                </c:pt>
                <c:pt idx="255">
                  <c:v>38790.0</c:v>
                </c:pt>
                <c:pt idx="256">
                  <c:v>38791.0</c:v>
                </c:pt>
                <c:pt idx="257">
                  <c:v>38792.0</c:v>
                </c:pt>
                <c:pt idx="258">
                  <c:v>38793.0</c:v>
                </c:pt>
                <c:pt idx="259">
                  <c:v>38794.0</c:v>
                </c:pt>
                <c:pt idx="260">
                  <c:v>38795.0</c:v>
                </c:pt>
                <c:pt idx="261">
                  <c:v>38796.0</c:v>
                </c:pt>
                <c:pt idx="262">
                  <c:v>38797.0</c:v>
                </c:pt>
                <c:pt idx="263">
                  <c:v>38799.0</c:v>
                </c:pt>
                <c:pt idx="264">
                  <c:v>38800.0</c:v>
                </c:pt>
                <c:pt idx="265">
                  <c:v>38801.0</c:v>
                </c:pt>
                <c:pt idx="266">
                  <c:v>38802.0</c:v>
                </c:pt>
                <c:pt idx="267">
                  <c:v>38803.0</c:v>
                </c:pt>
                <c:pt idx="268">
                  <c:v>38804.0</c:v>
                </c:pt>
                <c:pt idx="269">
                  <c:v>38805.0</c:v>
                </c:pt>
                <c:pt idx="270">
                  <c:v>38806.0</c:v>
                </c:pt>
                <c:pt idx="271">
                  <c:v>38807.0</c:v>
                </c:pt>
                <c:pt idx="272">
                  <c:v>38808.0</c:v>
                </c:pt>
                <c:pt idx="273">
                  <c:v>38809.0</c:v>
                </c:pt>
                <c:pt idx="274">
                  <c:v>38810.0</c:v>
                </c:pt>
                <c:pt idx="275">
                  <c:v>38811.0</c:v>
                </c:pt>
                <c:pt idx="276">
                  <c:v>38812.0</c:v>
                </c:pt>
                <c:pt idx="277">
                  <c:v>38813.0</c:v>
                </c:pt>
                <c:pt idx="278">
                  <c:v>38814.0</c:v>
                </c:pt>
                <c:pt idx="279">
                  <c:v>38815.0</c:v>
                </c:pt>
                <c:pt idx="280">
                  <c:v>38816.0</c:v>
                </c:pt>
                <c:pt idx="281">
                  <c:v>38817.0</c:v>
                </c:pt>
                <c:pt idx="282">
                  <c:v>38818.0</c:v>
                </c:pt>
                <c:pt idx="283">
                  <c:v>38819.0</c:v>
                </c:pt>
                <c:pt idx="284">
                  <c:v>38820.0</c:v>
                </c:pt>
                <c:pt idx="285">
                  <c:v>38821.0</c:v>
                </c:pt>
                <c:pt idx="286">
                  <c:v>38822.0</c:v>
                </c:pt>
                <c:pt idx="287">
                  <c:v>38823.0</c:v>
                </c:pt>
                <c:pt idx="288">
                  <c:v>38824.0</c:v>
                </c:pt>
                <c:pt idx="289">
                  <c:v>38825.0</c:v>
                </c:pt>
                <c:pt idx="290">
                  <c:v>38826.0</c:v>
                </c:pt>
                <c:pt idx="291">
                  <c:v>38827.0</c:v>
                </c:pt>
                <c:pt idx="292">
                  <c:v>38828.0</c:v>
                </c:pt>
                <c:pt idx="293">
                  <c:v>38829.0</c:v>
                </c:pt>
                <c:pt idx="294">
                  <c:v>38830.0</c:v>
                </c:pt>
                <c:pt idx="295">
                  <c:v>38831.0</c:v>
                </c:pt>
                <c:pt idx="296">
                  <c:v>38832.0</c:v>
                </c:pt>
                <c:pt idx="297">
                  <c:v>38833.0</c:v>
                </c:pt>
                <c:pt idx="298">
                  <c:v>38834.0</c:v>
                </c:pt>
                <c:pt idx="299">
                  <c:v>38835.0</c:v>
                </c:pt>
                <c:pt idx="300">
                  <c:v>38836.0</c:v>
                </c:pt>
                <c:pt idx="301">
                  <c:v>38837.0</c:v>
                </c:pt>
                <c:pt idx="302">
                  <c:v>38838.0</c:v>
                </c:pt>
                <c:pt idx="303">
                  <c:v>38839.0</c:v>
                </c:pt>
                <c:pt idx="304">
                  <c:v>38840.0</c:v>
                </c:pt>
                <c:pt idx="305">
                  <c:v>38841.0</c:v>
                </c:pt>
                <c:pt idx="306">
                  <c:v>38842.0</c:v>
                </c:pt>
                <c:pt idx="307">
                  <c:v>38843.0</c:v>
                </c:pt>
                <c:pt idx="308">
                  <c:v>38844.0</c:v>
                </c:pt>
                <c:pt idx="309">
                  <c:v>38845.0</c:v>
                </c:pt>
                <c:pt idx="310">
                  <c:v>38846.0</c:v>
                </c:pt>
                <c:pt idx="311">
                  <c:v>38847.0</c:v>
                </c:pt>
                <c:pt idx="312">
                  <c:v>38848.0</c:v>
                </c:pt>
                <c:pt idx="313">
                  <c:v>38849.0</c:v>
                </c:pt>
                <c:pt idx="314">
                  <c:v>38850.0</c:v>
                </c:pt>
                <c:pt idx="315">
                  <c:v>38851.0</c:v>
                </c:pt>
                <c:pt idx="316">
                  <c:v>38852.0</c:v>
                </c:pt>
                <c:pt idx="317">
                  <c:v>38853.0</c:v>
                </c:pt>
                <c:pt idx="318">
                  <c:v>38854.0</c:v>
                </c:pt>
                <c:pt idx="319">
                  <c:v>38855.0</c:v>
                </c:pt>
                <c:pt idx="320">
                  <c:v>38856.0</c:v>
                </c:pt>
                <c:pt idx="321">
                  <c:v>38857.0</c:v>
                </c:pt>
                <c:pt idx="322">
                  <c:v>38858.0</c:v>
                </c:pt>
                <c:pt idx="323">
                  <c:v>38859.0</c:v>
                </c:pt>
                <c:pt idx="324">
                  <c:v>38860.0</c:v>
                </c:pt>
                <c:pt idx="325">
                  <c:v>38861.0</c:v>
                </c:pt>
                <c:pt idx="326">
                  <c:v>38862.0</c:v>
                </c:pt>
                <c:pt idx="327">
                  <c:v>38863.0</c:v>
                </c:pt>
                <c:pt idx="328">
                  <c:v>38864.0</c:v>
                </c:pt>
                <c:pt idx="329">
                  <c:v>38865.0</c:v>
                </c:pt>
                <c:pt idx="330">
                  <c:v>38866.0</c:v>
                </c:pt>
                <c:pt idx="331">
                  <c:v>38867.0</c:v>
                </c:pt>
                <c:pt idx="332">
                  <c:v>38868.0</c:v>
                </c:pt>
                <c:pt idx="333">
                  <c:v>38869.0</c:v>
                </c:pt>
                <c:pt idx="334">
                  <c:v>38870.0</c:v>
                </c:pt>
                <c:pt idx="335">
                  <c:v>38871.0</c:v>
                </c:pt>
                <c:pt idx="336">
                  <c:v>38872.0</c:v>
                </c:pt>
                <c:pt idx="337">
                  <c:v>38873.0</c:v>
                </c:pt>
                <c:pt idx="338">
                  <c:v>38874.0</c:v>
                </c:pt>
                <c:pt idx="339">
                  <c:v>38875.0</c:v>
                </c:pt>
                <c:pt idx="340">
                  <c:v>38876.0</c:v>
                </c:pt>
                <c:pt idx="341">
                  <c:v>38877.0</c:v>
                </c:pt>
                <c:pt idx="342">
                  <c:v>38878.0</c:v>
                </c:pt>
                <c:pt idx="343">
                  <c:v>38879.0</c:v>
                </c:pt>
                <c:pt idx="344">
                  <c:v>38880.0</c:v>
                </c:pt>
                <c:pt idx="345">
                  <c:v>38881.0</c:v>
                </c:pt>
                <c:pt idx="346">
                  <c:v>38882.0</c:v>
                </c:pt>
                <c:pt idx="347">
                  <c:v>38883.0</c:v>
                </c:pt>
                <c:pt idx="348">
                  <c:v>38884.0</c:v>
                </c:pt>
                <c:pt idx="349">
                  <c:v>38885.0</c:v>
                </c:pt>
                <c:pt idx="350">
                  <c:v>38886.0</c:v>
                </c:pt>
                <c:pt idx="351">
                  <c:v>38887.0</c:v>
                </c:pt>
                <c:pt idx="352">
                  <c:v>38888.0</c:v>
                </c:pt>
                <c:pt idx="353">
                  <c:v>38889.0</c:v>
                </c:pt>
                <c:pt idx="354">
                  <c:v>38890.0</c:v>
                </c:pt>
                <c:pt idx="355">
                  <c:v>38891.0</c:v>
                </c:pt>
                <c:pt idx="356">
                  <c:v>38892.0</c:v>
                </c:pt>
                <c:pt idx="357">
                  <c:v>38893.0</c:v>
                </c:pt>
                <c:pt idx="358">
                  <c:v>38894.0</c:v>
                </c:pt>
                <c:pt idx="359">
                  <c:v>38895.0</c:v>
                </c:pt>
                <c:pt idx="360">
                  <c:v>38896.0</c:v>
                </c:pt>
                <c:pt idx="361">
                  <c:v>38897.0</c:v>
                </c:pt>
                <c:pt idx="362">
                  <c:v>38898.0</c:v>
                </c:pt>
                <c:pt idx="363">
                  <c:v>38899.0</c:v>
                </c:pt>
                <c:pt idx="364">
                  <c:v>38900.0</c:v>
                </c:pt>
                <c:pt idx="365">
                  <c:v>38901.0</c:v>
                </c:pt>
                <c:pt idx="366">
                  <c:v>38902.0</c:v>
                </c:pt>
                <c:pt idx="367">
                  <c:v>38903.0</c:v>
                </c:pt>
                <c:pt idx="368">
                  <c:v>38904.0</c:v>
                </c:pt>
                <c:pt idx="369">
                  <c:v>38905.0</c:v>
                </c:pt>
                <c:pt idx="370">
                  <c:v>38906.0</c:v>
                </c:pt>
                <c:pt idx="371">
                  <c:v>38907.0</c:v>
                </c:pt>
                <c:pt idx="372">
                  <c:v>38908.0</c:v>
                </c:pt>
                <c:pt idx="373">
                  <c:v>38909.0</c:v>
                </c:pt>
                <c:pt idx="374">
                  <c:v>38910.0</c:v>
                </c:pt>
                <c:pt idx="375">
                  <c:v>38911.0</c:v>
                </c:pt>
                <c:pt idx="376">
                  <c:v>38912.0</c:v>
                </c:pt>
                <c:pt idx="377">
                  <c:v>38913.0</c:v>
                </c:pt>
                <c:pt idx="378">
                  <c:v>38914.0</c:v>
                </c:pt>
                <c:pt idx="379">
                  <c:v>38915.0</c:v>
                </c:pt>
                <c:pt idx="380">
                  <c:v>38916.0</c:v>
                </c:pt>
                <c:pt idx="381">
                  <c:v>38917.0</c:v>
                </c:pt>
                <c:pt idx="382">
                  <c:v>38918.0</c:v>
                </c:pt>
                <c:pt idx="383">
                  <c:v>38919.0</c:v>
                </c:pt>
                <c:pt idx="384">
                  <c:v>38920.0</c:v>
                </c:pt>
                <c:pt idx="385">
                  <c:v>38921.0</c:v>
                </c:pt>
                <c:pt idx="386">
                  <c:v>38922.0</c:v>
                </c:pt>
                <c:pt idx="387">
                  <c:v>38923.0</c:v>
                </c:pt>
                <c:pt idx="388">
                  <c:v>38924.0</c:v>
                </c:pt>
                <c:pt idx="389">
                  <c:v>38925.0</c:v>
                </c:pt>
                <c:pt idx="390">
                  <c:v>38926.0</c:v>
                </c:pt>
                <c:pt idx="391">
                  <c:v>38927.0</c:v>
                </c:pt>
                <c:pt idx="392">
                  <c:v>38928.0</c:v>
                </c:pt>
                <c:pt idx="393">
                  <c:v>38929.0</c:v>
                </c:pt>
                <c:pt idx="394">
                  <c:v>38930.0</c:v>
                </c:pt>
                <c:pt idx="395">
                  <c:v>38931.0</c:v>
                </c:pt>
                <c:pt idx="396">
                  <c:v>38932.0</c:v>
                </c:pt>
                <c:pt idx="397">
                  <c:v>38933.0</c:v>
                </c:pt>
                <c:pt idx="398">
                  <c:v>38934.0</c:v>
                </c:pt>
                <c:pt idx="399">
                  <c:v>38935.0</c:v>
                </c:pt>
                <c:pt idx="400">
                  <c:v>38936.0</c:v>
                </c:pt>
                <c:pt idx="401">
                  <c:v>38937.0</c:v>
                </c:pt>
                <c:pt idx="402">
                  <c:v>38938.0</c:v>
                </c:pt>
                <c:pt idx="403">
                  <c:v>38939.0</c:v>
                </c:pt>
                <c:pt idx="404">
                  <c:v>38940.0</c:v>
                </c:pt>
                <c:pt idx="405">
                  <c:v>38941.0</c:v>
                </c:pt>
                <c:pt idx="406">
                  <c:v>38942.0</c:v>
                </c:pt>
                <c:pt idx="407">
                  <c:v>38943.0</c:v>
                </c:pt>
                <c:pt idx="408">
                  <c:v>38944.0</c:v>
                </c:pt>
                <c:pt idx="409">
                  <c:v>38945.0</c:v>
                </c:pt>
                <c:pt idx="410">
                  <c:v>38946.0</c:v>
                </c:pt>
                <c:pt idx="411">
                  <c:v>38947.0</c:v>
                </c:pt>
                <c:pt idx="412">
                  <c:v>38948.0</c:v>
                </c:pt>
                <c:pt idx="413">
                  <c:v>38949.0</c:v>
                </c:pt>
                <c:pt idx="414">
                  <c:v>38950.0</c:v>
                </c:pt>
                <c:pt idx="415">
                  <c:v>38951.0</c:v>
                </c:pt>
                <c:pt idx="416">
                  <c:v>38952.0</c:v>
                </c:pt>
                <c:pt idx="417">
                  <c:v>38953.0</c:v>
                </c:pt>
                <c:pt idx="418">
                  <c:v>38954.0</c:v>
                </c:pt>
                <c:pt idx="419">
                  <c:v>38955.0</c:v>
                </c:pt>
                <c:pt idx="420">
                  <c:v>38956.0</c:v>
                </c:pt>
                <c:pt idx="421">
                  <c:v>38957.0</c:v>
                </c:pt>
                <c:pt idx="422">
                  <c:v>38958.0</c:v>
                </c:pt>
                <c:pt idx="423">
                  <c:v>38959.0</c:v>
                </c:pt>
                <c:pt idx="424">
                  <c:v>38960.0</c:v>
                </c:pt>
                <c:pt idx="425">
                  <c:v>38961.0</c:v>
                </c:pt>
                <c:pt idx="426">
                  <c:v>38962.0</c:v>
                </c:pt>
                <c:pt idx="427">
                  <c:v>38963.0</c:v>
                </c:pt>
                <c:pt idx="428">
                  <c:v>38964.0</c:v>
                </c:pt>
                <c:pt idx="429">
                  <c:v>38965.0</c:v>
                </c:pt>
                <c:pt idx="430">
                  <c:v>38966.0</c:v>
                </c:pt>
                <c:pt idx="431">
                  <c:v>38967.0</c:v>
                </c:pt>
                <c:pt idx="432">
                  <c:v>38968.0</c:v>
                </c:pt>
                <c:pt idx="433">
                  <c:v>38969.0</c:v>
                </c:pt>
                <c:pt idx="434">
                  <c:v>38970.0</c:v>
                </c:pt>
                <c:pt idx="435">
                  <c:v>38971.0</c:v>
                </c:pt>
                <c:pt idx="436">
                  <c:v>38972.0</c:v>
                </c:pt>
                <c:pt idx="437">
                  <c:v>38973.0</c:v>
                </c:pt>
                <c:pt idx="438">
                  <c:v>38974.0</c:v>
                </c:pt>
                <c:pt idx="439">
                  <c:v>38975.0</c:v>
                </c:pt>
                <c:pt idx="440">
                  <c:v>38976.0</c:v>
                </c:pt>
                <c:pt idx="441">
                  <c:v>38977.0</c:v>
                </c:pt>
                <c:pt idx="442">
                  <c:v>38978.0</c:v>
                </c:pt>
                <c:pt idx="443">
                  <c:v>38979.0</c:v>
                </c:pt>
                <c:pt idx="444">
                  <c:v>38980.0</c:v>
                </c:pt>
                <c:pt idx="445">
                  <c:v>38981.0</c:v>
                </c:pt>
                <c:pt idx="446">
                  <c:v>38982.0</c:v>
                </c:pt>
                <c:pt idx="447">
                  <c:v>38983.0</c:v>
                </c:pt>
                <c:pt idx="448">
                  <c:v>38984.0</c:v>
                </c:pt>
                <c:pt idx="449">
                  <c:v>38985.0</c:v>
                </c:pt>
                <c:pt idx="450">
                  <c:v>38986.0</c:v>
                </c:pt>
                <c:pt idx="451">
                  <c:v>38987.0</c:v>
                </c:pt>
                <c:pt idx="452">
                  <c:v>38988.0</c:v>
                </c:pt>
                <c:pt idx="453">
                  <c:v>38989.0</c:v>
                </c:pt>
                <c:pt idx="454">
                  <c:v>38990.0</c:v>
                </c:pt>
                <c:pt idx="455">
                  <c:v>38991.0</c:v>
                </c:pt>
                <c:pt idx="456">
                  <c:v>38992.0</c:v>
                </c:pt>
                <c:pt idx="457">
                  <c:v>38993.0</c:v>
                </c:pt>
                <c:pt idx="458">
                  <c:v>38994.0</c:v>
                </c:pt>
                <c:pt idx="459">
                  <c:v>38995.0</c:v>
                </c:pt>
                <c:pt idx="460">
                  <c:v>38996.0</c:v>
                </c:pt>
                <c:pt idx="461">
                  <c:v>38997.0</c:v>
                </c:pt>
                <c:pt idx="462">
                  <c:v>38998.0</c:v>
                </c:pt>
                <c:pt idx="463">
                  <c:v>38999.0</c:v>
                </c:pt>
                <c:pt idx="464">
                  <c:v>39000.0</c:v>
                </c:pt>
                <c:pt idx="465">
                  <c:v>39001.0</c:v>
                </c:pt>
                <c:pt idx="466">
                  <c:v>39002.0</c:v>
                </c:pt>
                <c:pt idx="467">
                  <c:v>39003.0</c:v>
                </c:pt>
                <c:pt idx="468">
                  <c:v>39004.0</c:v>
                </c:pt>
                <c:pt idx="469">
                  <c:v>39005.0</c:v>
                </c:pt>
                <c:pt idx="470">
                  <c:v>39006.0</c:v>
                </c:pt>
                <c:pt idx="471">
                  <c:v>39007.0</c:v>
                </c:pt>
                <c:pt idx="472">
                  <c:v>39008.0</c:v>
                </c:pt>
                <c:pt idx="473">
                  <c:v>39009.0</c:v>
                </c:pt>
                <c:pt idx="474">
                  <c:v>39010.0</c:v>
                </c:pt>
                <c:pt idx="475">
                  <c:v>39011.0</c:v>
                </c:pt>
                <c:pt idx="476">
                  <c:v>39012.0</c:v>
                </c:pt>
                <c:pt idx="477">
                  <c:v>39013.0</c:v>
                </c:pt>
                <c:pt idx="478">
                  <c:v>39014.0</c:v>
                </c:pt>
                <c:pt idx="479">
                  <c:v>39015.0</c:v>
                </c:pt>
                <c:pt idx="480">
                  <c:v>39016.0</c:v>
                </c:pt>
                <c:pt idx="481">
                  <c:v>39017.0</c:v>
                </c:pt>
                <c:pt idx="482">
                  <c:v>39018.0</c:v>
                </c:pt>
                <c:pt idx="483">
                  <c:v>39019.0</c:v>
                </c:pt>
                <c:pt idx="484">
                  <c:v>39020.0</c:v>
                </c:pt>
                <c:pt idx="485">
                  <c:v>39021.0</c:v>
                </c:pt>
                <c:pt idx="486">
                  <c:v>39022.0</c:v>
                </c:pt>
                <c:pt idx="487">
                  <c:v>39023.0</c:v>
                </c:pt>
                <c:pt idx="488">
                  <c:v>39024.0</c:v>
                </c:pt>
                <c:pt idx="489">
                  <c:v>39025.0</c:v>
                </c:pt>
                <c:pt idx="490">
                  <c:v>39026.0</c:v>
                </c:pt>
                <c:pt idx="491">
                  <c:v>39027.0</c:v>
                </c:pt>
                <c:pt idx="492">
                  <c:v>39028.0</c:v>
                </c:pt>
                <c:pt idx="493">
                  <c:v>39029.0</c:v>
                </c:pt>
                <c:pt idx="494">
                  <c:v>39030.0</c:v>
                </c:pt>
                <c:pt idx="495">
                  <c:v>39031.0</c:v>
                </c:pt>
                <c:pt idx="496">
                  <c:v>39032.0</c:v>
                </c:pt>
                <c:pt idx="497">
                  <c:v>39033.0</c:v>
                </c:pt>
                <c:pt idx="498">
                  <c:v>39034.0</c:v>
                </c:pt>
                <c:pt idx="499">
                  <c:v>39035.0</c:v>
                </c:pt>
                <c:pt idx="500">
                  <c:v>39036.0</c:v>
                </c:pt>
                <c:pt idx="501">
                  <c:v>39037.0</c:v>
                </c:pt>
                <c:pt idx="502">
                  <c:v>39038.0</c:v>
                </c:pt>
                <c:pt idx="503">
                  <c:v>39039.0</c:v>
                </c:pt>
                <c:pt idx="504">
                  <c:v>39040.0</c:v>
                </c:pt>
                <c:pt idx="505">
                  <c:v>39041.0</c:v>
                </c:pt>
                <c:pt idx="506">
                  <c:v>39042.0</c:v>
                </c:pt>
                <c:pt idx="507">
                  <c:v>39043.0</c:v>
                </c:pt>
                <c:pt idx="508">
                  <c:v>39044.0</c:v>
                </c:pt>
                <c:pt idx="509">
                  <c:v>39045.0</c:v>
                </c:pt>
                <c:pt idx="510">
                  <c:v>39046.0</c:v>
                </c:pt>
                <c:pt idx="511">
                  <c:v>39047.0</c:v>
                </c:pt>
                <c:pt idx="512">
                  <c:v>39048.0</c:v>
                </c:pt>
                <c:pt idx="513">
                  <c:v>39049.0</c:v>
                </c:pt>
                <c:pt idx="514">
                  <c:v>39050.0</c:v>
                </c:pt>
                <c:pt idx="515">
                  <c:v>39051.0</c:v>
                </c:pt>
                <c:pt idx="516">
                  <c:v>39052.0</c:v>
                </c:pt>
                <c:pt idx="517">
                  <c:v>39053.0</c:v>
                </c:pt>
                <c:pt idx="518">
                  <c:v>39054.0</c:v>
                </c:pt>
                <c:pt idx="519">
                  <c:v>39055.0</c:v>
                </c:pt>
                <c:pt idx="520">
                  <c:v>39056.0</c:v>
                </c:pt>
                <c:pt idx="521">
                  <c:v>39057.0</c:v>
                </c:pt>
                <c:pt idx="522">
                  <c:v>39058.0</c:v>
                </c:pt>
                <c:pt idx="523">
                  <c:v>39059.0</c:v>
                </c:pt>
                <c:pt idx="524">
                  <c:v>39060.0</c:v>
                </c:pt>
                <c:pt idx="525">
                  <c:v>39061.0</c:v>
                </c:pt>
                <c:pt idx="526">
                  <c:v>39062.0</c:v>
                </c:pt>
                <c:pt idx="527">
                  <c:v>39063.0</c:v>
                </c:pt>
                <c:pt idx="528">
                  <c:v>39064.0</c:v>
                </c:pt>
                <c:pt idx="529">
                  <c:v>39065.0</c:v>
                </c:pt>
                <c:pt idx="530">
                  <c:v>39066.0</c:v>
                </c:pt>
                <c:pt idx="531">
                  <c:v>39067.0</c:v>
                </c:pt>
                <c:pt idx="532">
                  <c:v>39068.0</c:v>
                </c:pt>
                <c:pt idx="533">
                  <c:v>39069.0</c:v>
                </c:pt>
                <c:pt idx="534">
                  <c:v>39070.0</c:v>
                </c:pt>
                <c:pt idx="535">
                  <c:v>39071.0</c:v>
                </c:pt>
                <c:pt idx="536">
                  <c:v>39072.0</c:v>
                </c:pt>
                <c:pt idx="537">
                  <c:v>39073.0</c:v>
                </c:pt>
                <c:pt idx="538">
                  <c:v>39074.0</c:v>
                </c:pt>
                <c:pt idx="539">
                  <c:v>39075.0</c:v>
                </c:pt>
                <c:pt idx="540">
                  <c:v>39076.0</c:v>
                </c:pt>
                <c:pt idx="541">
                  <c:v>39077.0</c:v>
                </c:pt>
                <c:pt idx="542">
                  <c:v>39078.0</c:v>
                </c:pt>
                <c:pt idx="543">
                  <c:v>39079.0</c:v>
                </c:pt>
                <c:pt idx="544">
                  <c:v>39080.0</c:v>
                </c:pt>
                <c:pt idx="545">
                  <c:v>39081.0</c:v>
                </c:pt>
                <c:pt idx="546">
                  <c:v>39082.0</c:v>
                </c:pt>
                <c:pt idx="547">
                  <c:v>39083.0</c:v>
                </c:pt>
                <c:pt idx="548">
                  <c:v>39084.0</c:v>
                </c:pt>
                <c:pt idx="549">
                  <c:v>39085.0</c:v>
                </c:pt>
                <c:pt idx="550">
                  <c:v>39086.0</c:v>
                </c:pt>
                <c:pt idx="551">
                  <c:v>39087.0</c:v>
                </c:pt>
                <c:pt idx="552">
                  <c:v>39088.0</c:v>
                </c:pt>
                <c:pt idx="553">
                  <c:v>39089.0</c:v>
                </c:pt>
                <c:pt idx="554">
                  <c:v>39090.0</c:v>
                </c:pt>
                <c:pt idx="555">
                  <c:v>39091.0</c:v>
                </c:pt>
                <c:pt idx="556">
                  <c:v>39092.0</c:v>
                </c:pt>
                <c:pt idx="557">
                  <c:v>39093.0</c:v>
                </c:pt>
                <c:pt idx="558">
                  <c:v>39094.0</c:v>
                </c:pt>
                <c:pt idx="559">
                  <c:v>39095.0</c:v>
                </c:pt>
                <c:pt idx="560">
                  <c:v>39096.0</c:v>
                </c:pt>
                <c:pt idx="561">
                  <c:v>39097.0</c:v>
                </c:pt>
                <c:pt idx="562">
                  <c:v>39098.0</c:v>
                </c:pt>
                <c:pt idx="563">
                  <c:v>39099.0</c:v>
                </c:pt>
                <c:pt idx="564">
                  <c:v>39100.0</c:v>
                </c:pt>
                <c:pt idx="565">
                  <c:v>39101.0</c:v>
                </c:pt>
                <c:pt idx="566">
                  <c:v>39102.0</c:v>
                </c:pt>
                <c:pt idx="567">
                  <c:v>39103.0</c:v>
                </c:pt>
                <c:pt idx="568">
                  <c:v>39104.0</c:v>
                </c:pt>
                <c:pt idx="569">
                  <c:v>39105.0</c:v>
                </c:pt>
                <c:pt idx="570">
                  <c:v>39106.0</c:v>
                </c:pt>
                <c:pt idx="571">
                  <c:v>39107.0</c:v>
                </c:pt>
                <c:pt idx="572">
                  <c:v>39108.0</c:v>
                </c:pt>
                <c:pt idx="573">
                  <c:v>39109.0</c:v>
                </c:pt>
                <c:pt idx="574">
                  <c:v>39110.0</c:v>
                </c:pt>
                <c:pt idx="575">
                  <c:v>39111.0</c:v>
                </c:pt>
                <c:pt idx="576">
                  <c:v>39112.0</c:v>
                </c:pt>
                <c:pt idx="577">
                  <c:v>39113.0</c:v>
                </c:pt>
                <c:pt idx="578">
                  <c:v>39114.0</c:v>
                </c:pt>
                <c:pt idx="579">
                  <c:v>39115.0</c:v>
                </c:pt>
                <c:pt idx="580">
                  <c:v>39116.0</c:v>
                </c:pt>
                <c:pt idx="581">
                  <c:v>39117.0</c:v>
                </c:pt>
                <c:pt idx="582">
                  <c:v>39118.0</c:v>
                </c:pt>
                <c:pt idx="583">
                  <c:v>39119.0</c:v>
                </c:pt>
                <c:pt idx="584">
                  <c:v>39120.0</c:v>
                </c:pt>
                <c:pt idx="585">
                  <c:v>39121.0</c:v>
                </c:pt>
                <c:pt idx="586">
                  <c:v>39122.0</c:v>
                </c:pt>
                <c:pt idx="587">
                  <c:v>39123.0</c:v>
                </c:pt>
                <c:pt idx="588">
                  <c:v>39124.0</c:v>
                </c:pt>
                <c:pt idx="589">
                  <c:v>39125.0</c:v>
                </c:pt>
                <c:pt idx="590">
                  <c:v>39126.0</c:v>
                </c:pt>
                <c:pt idx="591">
                  <c:v>39127.0</c:v>
                </c:pt>
                <c:pt idx="592">
                  <c:v>39128.0</c:v>
                </c:pt>
                <c:pt idx="593">
                  <c:v>39129.0</c:v>
                </c:pt>
                <c:pt idx="594">
                  <c:v>39130.0</c:v>
                </c:pt>
                <c:pt idx="595">
                  <c:v>39131.0</c:v>
                </c:pt>
                <c:pt idx="596">
                  <c:v>39132.0</c:v>
                </c:pt>
                <c:pt idx="597">
                  <c:v>39133.0</c:v>
                </c:pt>
                <c:pt idx="598">
                  <c:v>39134.0</c:v>
                </c:pt>
                <c:pt idx="599">
                  <c:v>39135.0</c:v>
                </c:pt>
                <c:pt idx="600">
                  <c:v>39136.0</c:v>
                </c:pt>
                <c:pt idx="601">
                  <c:v>39137.0</c:v>
                </c:pt>
                <c:pt idx="602">
                  <c:v>39138.0</c:v>
                </c:pt>
                <c:pt idx="603">
                  <c:v>39139.0</c:v>
                </c:pt>
                <c:pt idx="604">
                  <c:v>39140.0</c:v>
                </c:pt>
                <c:pt idx="605">
                  <c:v>39141.0</c:v>
                </c:pt>
                <c:pt idx="606">
                  <c:v>39142.0</c:v>
                </c:pt>
                <c:pt idx="607">
                  <c:v>39143.0</c:v>
                </c:pt>
                <c:pt idx="608">
                  <c:v>39144.0</c:v>
                </c:pt>
                <c:pt idx="609">
                  <c:v>39145.0</c:v>
                </c:pt>
                <c:pt idx="610">
                  <c:v>39146.0</c:v>
                </c:pt>
                <c:pt idx="611">
                  <c:v>39147.0</c:v>
                </c:pt>
                <c:pt idx="612">
                  <c:v>39148.0</c:v>
                </c:pt>
                <c:pt idx="613">
                  <c:v>39149.0</c:v>
                </c:pt>
                <c:pt idx="614">
                  <c:v>39150.0</c:v>
                </c:pt>
                <c:pt idx="615">
                  <c:v>39151.0</c:v>
                </c:pt>
                <c:pt idx="616">
                  <c:v>39152.0</c:v>
                </c:pt>
                <c:pt idx="617">
                  <c:v>39153.0</c:v>
                </c:pt>
                <c:pt idx="618">
                  <c:v>39154.0</c:v>
                </c:pt>
                <c:pt idx="619">
                  <c:v>39155.0</c:v>
                </c:pt>
                <c:pt idx="620">
                  <c:v>39156.0</c:v>
                </c:pt>
                <c:pt idx="621">
                  <c:v>39157.0</c:v>
                </c:pt>
                <c:pt idx="622">
                  <c:v>39158.0</c:v>
                </c:pt>
                <c:pt idx="623">
                  <c:v>39159.0</c:v>
                </c:pt>
                <c:pt idx="624">
                  <c:v>39160.0</c:v>
                </c:pt>
                <c:pt idx="625">
                  <c:v>39161.0</c:v>
                </c:pt>
                <c:pt idx="626">
                  <c:v>39162.0</c:v>
                </c:pt>
                <c:pt idx="627">
                  <c:v>39163.0</c:v>
                </c:pt>
                <c:pt idx="628">
                  <c:v>39164.0</c:v>
                </c:pt>
                <c:pt idx="629">
                  <c:v>39165.0</c:v>
                </c:pt>
                <c:pt idx="630">
                  <c:v>39166.0</c:v>
                </c:pt>
                <c:pt idx="631">
                  <c:v>39167.0</c:v>
                </c:pt>
                <c:pt idx="632">
                  <c:v>39168.0</c:v>
                </c:pt>
                <c:pt idx="633">
                  <c:v>39169.0</c:v>
                </c:pt>
                <c:pt idx="634">
                  <c:v>39170.0</c:v>
                </c:pt>
                <c:pt idx="635">
                  <c:v>39171.0</c:v>
                </c:pt>
                <c:pt idx="636">
                  <c:v>39172.0</c:v>
                </c:pt>
                <c:pt idx="637">
                  <c:v>39173.0</c:v>
                </c:pt>
                <c:pt idx="638">
                  <c:v>39174.0</c:v>
                </c:pt>
                <c:pt idx="639">
                  <c:v>39175.0</c:v>
                </c:pt>
                <c:pt idx="640">
                  <c:v>39176.0</c:v>
                </c:pt>
                <c:pt idx="641">
                  <c:v>39177.0</c:v>
                </c:pt>
                <c:pt idx="642">
                  <c:v>39178.0</c:v>
                </c:pt>
                <c:pt idx="643">
                  <c:v>39179.0</c:v>
                </c:pt>
                <c:pt idx="644">
                  <c:v>39180.0</c:v>
                </c:pt>
                <c:pt idx="645">
                  <c:v>39181.0</c:v>
                </c:pt>
                <c:pt idx="646">
                  <c:v>39182.0</c:v>
                </c:pt>
                <c:pt idx="647">
                  <c:v>39183.0</c:v>
                </c:pt>
                <c:pt idx="648">
                  <c:v>39184.0</c:v>
                </c:pt>
                <c:pt idx="649">
                  <c:v>39185.0</c:v>
                </c:pt>
                <c:pt idx="650">
                  <c:v>39186.0</c:v>
                </c:pt>
                <c:pt idx="651">
                  <c:v>39187.0</c:v>
                </c:pt>
                <c:pt idx="652">
                  <c:v>39188.0</c:v>
                </c:pt>
                <c:pt idx="653">
                  <c:v>39189.0</c:v>
                </c:pt>
                <c:pt idx="654">
                  <c:v>39190.0</c:v>
                </c:pt>
                <c:pt idx="655">
                  <c:v>39191.0</c:v>
                </c:pt>
                <c:pt idx="656">
                  <c:v>39192.0</c:v>
                </c:pt>
                <c:pt idx="657">
                  <c:v>39193.0</c:v>
                </c:pt>
                <c:pt idx="658">
                  <c:v>39194.0</c:v>
                </c:pt>
                <c:pt idx="659">
                  <c:v>39195.0</c:v>
                </c:pt>
                <c:pt idx="660">
                  <c:v>39196.0</c:v>
                </c:pt>
                <c:pt idx="661">
                  <c:v>39197.0</c:v>
                </c:pt>
                <c:pt idx="662">
                  <c:v>39198.0</c:v>
                </c:pt>
                <c:pt idx="663">
                  <c:v>39199.0</c:v>
                </c:pt>
                <c:pt idx="664">
                  <c:v>39200.0</c:v>
                </c:pt>
                <c:pt idx="665">
                  <c:v>39201.0</c:v>
                </c:pt>
                <c:pt idx="666">
                  <c:v>39202.0</c:v>
                </c:pt>
                <c:pt idx="667">
                  <c:v>39203.0</c:v>
                </c:pt>
                <c:pt idx="668">
                  <c:v>39204.0</c:v>
                </c:pt>
                <c:pt idx="669">
                  <c:v>39205.0</c:v>
                </c:pt>
                <c:pt idx="670">
                  <c:v>39206.0</c:v>
                </c:pt>
                <c:pt idx="671">
                  <c:v>39207.0</c:v>
                </c:pt>
                <c:pt idx="672">
                  <c:v>39208.0</c:v>
                </c:pt>
                <c:pt idx="673">
                  <c:v>39209.0</c:v>
                </c:pt>
                <c:pt idx="674">
                  <c:v>39210.0</c:v>
                </c:pt>
                <c:pt idx="675">
                  <c:v>39211.0</c:v>
                </c:pt>
                <c:pt idx="676">
                  <c:v>39213.0</c:v>
                </c:pt>
                <c:pt idx="677">
                  <c:v>39214.0</c:v>
                </c:pt>
                <c:pt idx="678">
                  <c:v>39215.0</c:v>
                </c:pt>
                <c:pt idx="679">
                  <c:v>39216.0</c:v>
                </c:pt>
                <c:pt idx="680">
                  <c:v>39217.0</c:v>
                </c:pt>
                <c:pt idx="681">
                  <c:v>39218.0</c:v>
                </c:pt>
                <c:pt idx="682">
                  <c:v>39219.0</c:v>
                </c:pt>
                <c:pt idx="683">
                  <c:v>39220.0</c:v>
                </c:pt>
                <c:pt idx="684">
                  <c:v>39221.0</c:v>
                </c:pt>
                <c:pt idx="685">
                  <c:v>39222.0</c:v>
                </c:pt>
                <c:pt idx="686">
                  <c:v>39223.0</c:v>
                </c:pt>
                <c:pt idx="687">
                  <c:v>39224.0</c:v>
                </c:pt>
                <c:pt idx="688">
                  <c:v>39225.0</c:v>
                </c:pt>
                <c:pt idx="689">
                  <c:v>39226.0</c:v>
                </c:pt>
                <c:pt idx="690">
                  <c:v>39227.0</c:v>
                </c:pt>
                <c:pt idx="691">
                  <c:v>39228.0</c:v>
                </c:pt>
                <c:pt idx="692">
                  <c:v>39229.0</c:v>
                </c:pt>
                <c:pt idx="693">
                  <c:v>39230.0</c:v>
                </c:pt>
                <c:pt idx="694">
                  <c:v>39231.0</c:v>
                </c:pt>
                <c:pt idx="695">
                  <c:v>39232.0</c:v>
                </c:pt>
                <c:pt idx="696">
                  <c:v>39233.0</c:v>
                </c:pt>
                <c:pt idx="697">
                  <c:v>39234.0</c:v>
                </c:pt>
                <c:pt idx="698">
                  <c:v>39235.0</c:v>
                </c:pt>
                <c:pt idx="699">
                  <c:v>39236.0</c:v>
                </c:pt>
                <c:pt idx="700">
                  <c:v>39237.0</c:v>
                </c:pt>
                <c:pt idx="701">
                  <c:v>39238.0</c:v>
                </c:pt>
                <c:pt idx="702">
                  <c:v>39239.0</c:v>
                </c:pt>
                <c:pt idx="703">
                  <c:v>39240.0</c:v>
                </c:pt>
                <c:pt idx="704">
                  <c:v>39241.0</c:v>
                </c:pt>
                <c:pt idx="705">
                  <c:v>39242.0</c:v>
                </c:pt>
                <c:pt idx="706">
                  <c:v>39243.0</c:v>
                </c:pt>
                <c:pt idx="707">
                  <c:v>39244.0</c:v>
                </c:pt>
                <c:pt idx="708">
                  <c:v>39245.0</c:v>
                </c:pt>
                <c:pt idx="709">
                  <c:v>39246.0</c:v>
                </c:pt>
                <c:pt idx="710">
                  <c:v>39247.0</c:v>
                </c:pt>
                <c:pt idx="711">
                  <c:v>39248.0</c:v>
                </c:pt>
                <c:pt idx="712">
                  <c:v>39249.0</c:v>
                </c:pt>
                <c:pt idx="713">
                  <c:v>39250.0</c:v>
                </c:pt>
                <c:pt idx="714">
                  <c:v>39251.0</c:v>
                </c:pt>
                <c:pt idx="715">
                  <c:v>39252.0</c:v>
                </c:pt>
                <c:pt idx="716">
                  <c:v>39253.0</c:v>
                </c:pt>
                <c:pt idx="717">
                  <c:v>39254.0</c:v>
                </c:pt>
                <c:pt idx="718">
                  <c:v>39255.0</c:v>
                </c:pt>
                <c:pt idx="719">
                  <c:v>39256.0</c:v>
                </c:pt>
                <c:pt idx="720">
                  <c:v>39257.0</c:v>
                </c:pt>
                <c:pt idx="721">
                  <c:v>39258.0</c:v>
                </c:pt>
                <c:pt idx="722">
                  <c:v>39259.0</c:v>
                </c:pt>
                <c:pt idx="723">
                  <c:v>39260.0</c:v>
                </c:pt>
                <c:pt idx="724">
                  <c:v>39261.0</c:v>
                </c:pt>
                <c:pt idx="725">
                  <c:v>39262.0</c:v>
                </c:pt>
                <c:pt idx="726">
                  <c:v>39263.0</c:v>
                </c:pt>
                <c:pt idx="727">
                  <c:v>39264.0</c:v>
                </c:pt>
                <c:pt idx="728">
                  <c:v>39265.0</c:v>
                </c:pt>
                <c:pt idx="729">
                  <c:v>39266.0</c:v>
                </c:pt>
                <c:pt idx="730">
                  <c:v>39267.0</c:v>
                </c:pt>
                <c:pt idx="731">
                  <c:v>39268.0</c:v>
                </c:pt>
                <c:pt idx="732">
                  <c:v>39269.0</c:v>
                </c:pt>
                <c:pt idx="733">
                  <c:v>39270.0</c:v>
                </c:pt>
                <c:pt idx="734">
                  <c:v>39271.0</c:v>
                </c:pt>
                <c:pt idx="735">
                  <c:v>39272.0</c:v>
                </c:pt>
                <c:pt idx="736">
                  <c:v>39273.0</c:v>
                </c:pt>
                <c:pt idx="737">
                  <c:v>39274.0</c:v>
                </c:pt>
                <c:pt idx="738">
                  <c:v>39275.0</c:v>
                </c:pt>
                <c:pt idx="739">
                  <c:v>39276.0</c:v>
                </c:pt>
                <c:pt idx="740">
                  <c:v>39277.0</c:v>
                </c:pt>
                <c:pt idx="741">
                  <c:v>39278.0</c:v>
                </c:pt>
                <c:pt idx="742">
                  <c:v>39279.0</c:v>
                </c:pt>
                <c:pt idx="743">
                  <c:v>39280.0</c:v>
                </c:pt>
                <c:pt idx="744">
                  <c:v>39281.0</c:v>
                </c:pt>
                <c:pt idx="745">
                  <c:v>39282.0</c:v>
                </c:pt>
                <c:pt idx="746">
                  <c:v>39283.0</c:v>
                </c:pt>
                <c:pt idx="747">
                  <c:v>39284.0</c:v>
                </c:pt>
                <c:pt idx="748">
                  <c:v>39285.0</c:v>
                </c:pt>
                <c:pt idx="749">
                  <c:v>39286.0</c:v>
                </c:pt>
                <c:pt idx="750">
                  <c:v>39287.0</c:v>
                </c:pt>
                <c:pt idx="751">
                  <c:v>39288.0</c:v>
                </c:pt>
                <c:pt idx="752">
                  <c:v>39289.0</c:v>
                </c:pt>
                <c:pt idx="753">
                  <c:v>39290.0</c:v>
                </c:pt>
                <c:pt idx="754">
                  <c:v>39291.0</c:v>
                </c:pt>
                <c:pt idx="755">
                  <c:v>39292.0</c:v>
                </c:pt>
                <c:pt idx="756">
                  <c:v>39293.0</c:v>
                </c:pt>
                <c:pt idx="757">
                  <c:v>39294.0</c:v>
                </c:pt>
                <c:pt idx="758">
                  <c:v>39295.0</c:v>
                </c:pt>
                <c:pt idx="759">
                  <c:v>39296.0</c:v>
                </c:pt>
                <c:pt idx="760">
                  <c:v>39297.0</c:v>
                </c:pt>
                <c:pt idx="761">
                  <c:v>39298.0</c:v>
                </c:pt>
                <c:pt idx="762">
                  <c:v>39299.0</c:v>
                </c:pt>
                <c:pt idx="763">
                  <c:v>39300.0</c:v>
                </c:pt>
                <c:pt idx="764">
                  <c:v>39301.0</c:v>
                </c:pt>
                <c:pt idx="765">
                  <c:v>39302.0</c:v>
                </c:pt>
                <c:pt idx="766">
                  <c:v>39303.0</c:v>
                </c:pt>
                <c:pt idx="767">
                  <c:v>39304.0</c:v>
                </c:pt>
                <c:pt idx="768">
                  <c:v>39305.0</c:v>
                </c:pt>
                <c:pt idx="769">
                  <c:v>39306.0</c:v>
                </c:pt>
                <c:pt idx="770">
                  <c:v>39307.0</c:v>
                </c:pt>
                <c:pt idx="771">
                  <c:v>39308.0</c:v>
                </c:pt>
                <c:pt idx="772">
                  <c:v>39309.0</c:v>
                </c:pt>
                <c:pt idx="773">
                  <c:v>39310.0</c:v>
                </c:pt>
                <c:pt idx="774">
                  <c:v>39311.0</c:v>
                </c:pt>
                <c:pt idx="775">
                  <c:v>39312.0</c:v>
                </c:pt>
                <c:pt idx="776">
                  <c:v>39313.0</c:v>
                </c:pt>
                <c:pt idx="777">
                  <c:v>39314.0</c:v>
                </c:pt>
                <c:pt idx="778">
                  <c:v>39315.0</c:v>
                </c:pt>
                <c:pt idx="779">
                  <c:v>39316.0</c:v>
                </c:pt>
                <c:pt idx="780">
                  <c:v>39317.0</c:v>
                </c:pt>
                <c:pt idx="781">
                  <c:v>39318.0</c:v>
                </c:pt>
                <c:pt idx="782">
                  <c:v>39319.0</c:v>
                </c:pt>
                <c:pt idx="783">
                  <c:v>39320.0</c:v>
                </c:pt>
                <c:pt idx="784">
                  <c:v>39321.0</c:v>
                </c:pt>
                <c:pt idx="785">
                  <c:v>39322.0</c:v>
                </c:pt>
                <c:pt idx="786">
                  <c:v>39323.0</c:v>
                </c:pt>
                <c:pt idx="787">
                  <c:v>39324.0</c:v>
                </c:pt>
                <c:pt idx="788">
                  <c:v>39325.0</c:v>
                </c:pt>
                <c:pt idx="789">
                  <c:v>39326.0</c:v>
                </c:pt>
                <c:pt idx="790">
                  <c:v>39327.0</c:v>
                </c:pt>
                <c:pt idx="791">
                  <c:v>39328.0</c:v>
                </c:pt>
                <c:pt idx="792">
                  <c:v>39329.0</c:v>
                </c:pt>
                <c:pt idx="793">
                  <c:v>39330.0</c:v>
                </c:pt>
                <c:pt idx="794">
                  <c:v>39331.0</c:v>
                </c:pt>
                <c:pt idx="795">
                  <c:v>39332.0</c:v>
                </c:pt>
                <c:pt idx="796">
                  <c:v>39333.0</c:v>
                </c:pt>
                <c:pt idx="797">
                  <c:v>39334.0</c:v>
                </c:pt>
                <c:pt idx="798">
                  <c:v>39335.0</c:v>
                </c:pt>
                <c:pt idx="799">
                  <c:v>39336.0</c:v>
                </c:pt>
                <c:pt idx="800">
                  <c:v>39337.0</c:v>
                </c:pt>
                <c:pt idx="801">
                  <c:v>39338.0</c:v>
                </c:pt>
                <c:pt idx="802">
                  <c:v>39339.0</c:v>
                </c:pt>
                <c:pt idx="803">
                  <c:v>39340.0</c:v>
                </c:pt>
                <c:pt idx="804">
                  <c:v>39341.0</c:v>
                </c:pt>
                <c:pt idx="805">
                  <c:v>39342.0</c:v>
                </c:pt>
                <c:pt idx="806">
                  <c:v>39343.0</c:v>
                </c:pt>
                <c:pt idx="807">
                  <c:v>39344.0</c:v>
                </c:pt>
                <c:pt idx="808">
                  <c:v>39345.0</c:v>
                </c:pt>
                <c:pt idx="809">
                  <c:v>39346.0</c:v>
                </c:pt>
                <c:pt idx="810">
                  <c:v>39347.0</c:v>
                </c:pt>
                <c:pt idx="811">
                  <c:v>39348.0</c:v>
                </c:pt>
                <c:pt idx="812">
                  <c:v>39349.0</c:v>
                </c:pt>
                <c:pt idx="813">
                  <c:v>39350.0</c:v>
                </c:pt>
                <c:pt idx="814">
                  <c:v>39351.0</c:v>
                </c:pt>
                <c:pt idx="815">
                  <c:v>39352.0</c:v>
                </c:pt>
                <c:pt idx="816">
                  <c:v>39353.0</c:v>
                </c:pt>
                <c:pt idx="817">
                  <c:v>39354.0</c:v>
                </c:pt>
                <c:pt idx="818">
                  <c:v>39355.0</c:v>
                </c:pt>
                <c:pt idx="819">
                  <c:v>39356.0</c:v>
                </c:pt>
                <c:pt idx="820">
                  <c:v>39357.0</c:v>
                </c:pt>
                <c:pt idx="821">
                  <c:v>39358.0</c:v>
                </c:pt>
                <c:pt idx="822">
                  <c:v>39359.0</c:v>
                </c:pt>
                <c:pt idx="823">
                  <c:v>39360.0</c:v>
                </c:pt>
                <c:pt idx="824">
                  <c:v>39361.0</c:v>
                </c:pt>
                <c:pt idx="825">
                  <c:v>39362.0</c:v>
                </c:pt>
                <c:pt idx="826">
                  <c:v>39363.0</c:v>
                </c:pt>
                <c:pt idx="827">
                  <c:v>39364.0</c:v>
                </c:pt>
                <c:pt idx="828">
                  <c:v>39365.0</c:v>
                </c:pt>
                <c:pt idx="829">
                  <c:v>39366.0</c:v>
                </c:pt>
                <c:pt idx="830">
                  <c:v>39367.0</c:v>
                </c:pt>
                <c:pt idx="831">
                  <c:v>39368.0</c:v>
                </c:pt>
                <c:pt idx="832">
                  <c:v>39369.0</c:v>
                </c:pt>
                <c:pt idx="833">
                  <c:v>39370.0</c:v>
                </c:pt>
                <c:pt idx="834">
                  <c:v>39371.0</c:v>
                </c:pt>
                <c:pt idx="835">
                  <c:v>39372.0</c:v>
                </c:pt>
                <c:pt idx="836">
                  <c:v>39373.0</c:v>
                </c:pt>
                <c:pt idx="837">
                  <c:v>39374.0</c:v>
                </c:pt>
                <c:pt idx="838">
                  <c:v>39375.0</c:v>
                </c:pt>
                <c:pt idx="839">
                  <c:v>39376.0</c:v>
                </c:pt>
                <c:pt idx="840">
                  <c:v>39377.0</c:v>
                </c:pt>
                <c:pt idx="841">
                  <c:v>39378.0</c:v>
                </c:pt>
                <c:pt idx="842">
                  <c:v>39379.0</c:v>
                </c:pt>
                <c:pt idx="843">
                  <c:v>39380.0</c:v>
                </c:pt>
                <c:pt idx="844">
                  <c:v>39381.0</c:v>
                </c:pt>
                <c:pt idx="845">
                  <c:v>39382.0</c:v>
                </c:pt>
                <c:pt idx="846">
                  <c:v>39383.0</c:v>
                </c:pt>
                <c:pt idx="847">
                  <c:v>39384.0</c:v>
                </c:pt>
                <c:pt idx="848">
                  <c:v>39385.0</c:v>
                </c:pt>
                <c:pt idx="849">
                  <c:v>39386.0</c:v>
                </c:pt>
                <c:pt idx="850">
                  <c:v>39387.0</c:v>
                </c:pt>
                <c:pt idx="851">
                  <c:v>39388.0</c:v>
                </c:pt>
                <c:pt idx="852">
                  <c:v>39389.0</c:v>
                </c:pt>
                <c:pt idx="853">
                  <c:v>39390.0</c:v>
                </c:pt>
                <c:pt idx="854">
                  <c:v>39391.0</c:v>
                </c:pt>
                <c:pt idx="855">
                  <c:v>39392.0</c:v>
                </c:pt>
                <c:pt idx="856">
                  <c:v>39393.0</c:v>
                </c:pt>
                <c:pt idx="857">
                  <c:v>39394.0</c:v>
                </c:pt>
                <c:pt idx="858">
                  <c:v>39395.0</c:v>
                </c:pt>
                <c:pt idx="859">
                  <c:v>39396.0</c:v>
                </c:pt>
                <c:pt idx="860">
                  <c:v>39397.0</c:v>
                </c:pt>
                <c:pt idx="861">
                  <c:v>39398.0</c:v>
                </c:pt>
                <c:pt idx="862">
                  <c:v>39399.0</c:v>
                </c:pt>
                <c:pt idx="863">
                  <c:v>39400.0</c:v>
                </c:pt>
                <c:pt idx="864">
                  <c:v>39401.0</c:v>
                </c:pt>
                <c:pt idx="865">
                  <c:v>39402.0</c:v>
                </c:pt>
                <c:pt idx="866">
                  <c:v>39403.0</c:v>
                </c:pt>
                <c:pt idx="867">
                  <c:v>39404.0</c:v>
                </c:pt>
                <c:pt idx="868">
                  <c:v>39405.0</c:v>
                </c:pt>
                <c:pt idx="869">
                  <c:v>39406.0</c:v>
                </c:pt>
                <c:pt idx="870">
                  <c:v>39407.0</c:v>
                </c:pt>
                <c:pt idx="871">
                  <c:v>39408.0</c:v>
                </c:pt>
                <c:pt idx="872">
                  <c:v>39409.0</c:v>
                </c:pt>
                <c:pt idx="873">
                  <c:v>39410.0</c:v>
                </c:pt>
                <c:pt idx="874">
                  <c:v>39411.0</c:v>
                </c:pt>
                <c:pt idx="875">
                  <c:v>39412.0</c:v>
                </c:pt>
                <c:pt idx="876">
                  <c:v>39413.0</c:v>
                </c:pt>
                <c:pt idx="877">
                  <c:v>39414.0</c:v>
                </c:pt>
                <c:pt idx="878">
                  <c:v>39415.0</c:v>
                </c:pt>
                <c:pt idx="879">
                  <c:v>39416.0</c:v>
                </c:pt>
                <c:pt idx="880">
                  <c:v>39417.0</c:v>
                </c:pt>
                <c:pt idx="881">
                  <c:v>39418.0</c:v>
                </c:pt>
                <c:pt idx="882">
                  <c:v>39419.0</c:v>
                </c:pt>
                <c:pt idx="883">
                  <c:v>39420.0</c:v>
                </c:pt>
                <c:pt idx="884">
                  <c:v>39421.0</c:v>
                </c:pt>
                <c:pt idx="885">
                  <c:v>39422.0</c:v>
                </c:pt>
                <c:pt idx="886">
                  <c:v>39423.0</c:v>
                </c:pt>
                <c:pt idx="887">
                  <c:v>39424.0</c:v>
                </c:pt>
                <c:pt idx="888">
                  <c:v>39425.0</c:v>
                </c:pt>
                <c:pt idx="889">
                  <c:v>39426.0</c:v>
                </c:pt>
                <c:pt idx="890">
                  <c:v>39427.0</c:v>
                </c:pt>
                <c:pt idx="891">
                  <c:v>39428.0</c:v>
                </c:pt>
                <c:pt idx="892">
                  <c:v>39429.0</c:v>
                </c:pt>
                <c:pt idx="893">
                  <c:v>39430.0</c:v>
                </c:pt>
                <c:pt idx="894">
                  <c:v>39431.0</c:v>
                </c:pt>
                <c:pt idx="895">
                  <c:v>39432.0</c:v>
                </c:pt>
                <c:pt idx="896">
                  <c:v>39433.0</c:v>
                </c:pt>
                <c:pt idx="897">
                  <c:v>39434.0</c:v>
                </c:pt>
                <c:pt idx="898">
                  <c:v>39435.0</c:v>
                </c:pt>
                <c:pt idx="899">
                  <c:v>39436.0</c:v>
                </c:pt>
                <c:pt idx="900">
                  <c:v>39437.0</c:v>
                </c:pt>
                <c:pt idx="901">
                  <c:v>39438.0</c:v>
                </c:pt>
                <c:pt idx="902">
                  <c:v>39439.0</c:v>
                </c:pt>
                <c:pt idx="903">
                  <c:v>39440.0</c:v>
                </c:pt>
                <c:pt idx="904">
                  <c:v>39441.0</c:v>
                </c:pt>
                <c:pt idx="905">
                  <c:v>39442.0</c:v>
                </c:pt>
                <c:pt idx="906">
                  <c:v>39443.0</c:v>
                </c:pt>
                <c:pt idx="907">
                  <c:v>39444.0</c:v>
                </c:pt>
                <c:pt idx="908">
                  <c:v>39445.0</c:v>
                </c:pt>
                <c:pt idx="909">
                  <c:v>39446.0</c:v>
                </c:pt>
                <c:pt idx="910">
                  <c:v>39447.0</c:v>
                </c:pt>
                <c:pt idx="911">
                  <c:v>39448.0</c:v>
                </c:pt>
                <c:pt idx="912">
                  <c:v>39449.0</c:v>
                </c:pt>
                <c:pt idx="913">
                  <c:v>39450.0</c:v>
                </c:pt>
                <c:pt idx="914">
                  <c:v>39451.0</c:v>
                </c:pt>
                <c:pt idx="915">
                  <c:v>39452.0</c:v>
                </c:pt>
                <c:pt idx="916">
                  <c:v>39453.0</c:v>
                </c:pt>
                <c:pt idx="917">
                  <c:v>39454.0</c:v>
                </c:pt>
                <c:pt idx="918">
                  <c:v>39455.0</c:v>
                </c:pt>
                <c:pt idx="919">
                  <c:v>39456.0</c:v>
                </c:pt>
                <c:pt idx="920">
                  <c:v>39457.0</c:v>
                </c:pt>
                <c:pt idx="921">
                  <c:v>39458.0</c:v>
                </c:pt>
                <c:pt idx="922">
                  <c:v>39459.0</c:v>
                </c:pt>
                <c:pt idx="923">
                  <c:v>39460.0</c:v>
                </c:pt>
                <c:pt idx="924">
                  <c:v>39461.0</c:v>
                </c:pt>
                <c:pt idx="925">
                  <c:v>39462.0</c:v>
                </c:pt>
                <c:pt idx="926">
                  <c:v>39463.0</c:v>
                </c:pt>
                <c:pt idx="927">
                  <c:v>39464.0</c:v>
                </c:pt>
                <c:pt idx="928">
                  <c:v>39465.0</c:v>
                </c:pt>
                <c:pt idx="929">
                  <c:v>39466.0</c:v>
                </c:pt>
                <c:pt idx="930">
                  <c:v>39467.0</c:v>
                </c:pt>
                <c:pt idx="931">
                  <c:v>39468.0</c:v>
                </c:pt>
                <c:pt idx="932">
                  <c:v>39469.0</c:v>
                </c:pt>
                <c:pt idx="933">
                  <c:v>39470.0</c:v>
                </c:pt>
                <c:pt idx="934">
                  <c:v>39471.0</c:v>
                </c:pt>
                <c:pt idx="935">
                  <c:v>39472.0</c:v>
                </c:pt>
                <c:pt idx="936">
                  <c:v>39473.0</c:v>
                </c:pt>
                <c:pt idx="937">
                  <c:v>39474.0</c:v>
                </c:pt>
                <c:pt idx="938">
                  <c:v>39475.0</c:v>
                </c:pt>
                <c:pt idx="939">
                  <c:v>39476.0</c:v>
                </c:pt>
                <c:pt idx="940">
                  <c:v>39477.0</c:v>
                </c:pt>
                <c:pt idx="941">
                  <c:v>39478.0</c:v>
                </c:pt>
                <c:pt idx="942">
                  <c:v>39479.0</c:v>
                </c:pt>
                <c:pt idx="943">
                  <c:v>39480.0</c:v>
                </c:pt>
                <c:pt idx="944">
                  <c:v>39481.0</c:v>
                </c:pt>
                <c:pt idx="945">
                  <c:v>39482.0</c:v>
                </c:pt>
                <c:pt idx="946">
                  <c:v>39483.0</c:v>
                </c:pt>
                <c:pt idx="947">
                  <c:v>39484.0</c:v>
                </c:pt>
                <c:pt idx="948">
                  <c:v>39485.0</c:v>
                </c:pt>
                <c:pt idx="949">
                  <c:v>39486.0</c:v>
                </c:pt>
                <c:pt idx="950">
                  <c:v>39487.0</c:v>
                </c:pt>
              </c:numCache>
            </c:numRef>
          </c:cat>
          <c:val>
            <c:numRef>
              <c:f>Sheet3!$C$2:$C$952</c:f>
              <c:numCache>
                <c:formatCode>General</c:formatCode>
                <c:ptCount val="951"/>
                <c:pt idx="21">
                  <c:v>18.8</c:v>
                </c:pt>
                <c:pt idx="159">
                  <c:v>16.9</c:v>
                </c:pt>
                <c:pt idx="270">
                  <c:v>18.8</c:v>
                </c:pt>
                <c:pt idx="335">
                  <c:v>17.2</c:v>
                </c:pt>
                <c:pt idx="424">
                  <c:v>15.2</c:v>
                </c:pt>
                <c:pt idx="459">
                  <c:v>15.0</c:v>
                </c:pt>
                <c:pt idx="501">
                  <c:v>13.9</c:v>
                </c:pt>
                <c:pt idx="550">
                  <c:v>17.0</c:v>
                </c:pt>
                <c:pt idx="598">
                  <c:v>11.7</c:v>
                </c:pt>
                <c:pt idx="655">
                  <c:v>13.6</c:v>
                </c:pt>
                <c:pt idx="697">
                  <c:v>13.6</c:v>
                </c:pt>
                <c:pt idx="824">
                  <c:v>14.3</c:v>
                </c:pt>
              </c:numCache>
            </c:numRef>
          </c:val>
          <c:smooth val="1"/>
        </c:ser>
        <c:marker val="1"/>
        <c:axId val="683758808"/>
        <c:axId val="683749528"/>
      </c:lineChart>
      <c:dateAx>
        <c:axId val="683813816"/>
        <c:scaling>
          <c:orientation val="minMax"/>
        </c:scaling>
        <c:axPos val="b"/>
        <c:numFmt formatCode="m/d/yy" sourceLinked="1"/>
        <c:tickLblPos val="nextTo"/>
        <c:crossAx val="610172728"/>
        <c:crosses val="autoZero"/>
        <c:auto val="1"/>
        <c:lblOffset val="100"/>
      </c:dateAx>
      <c:valAx>
        <c:axId val="610172728"/>
        <c:scaling>
          <c:orientation val="minMax"/>
          <c:max val="2000.0"/>
          <c:min val="1997.0"/>
        </c:scaling>
        <c:axPos val="l"/>
        <c:majorGridlines/>
        <c:title>
          <c:tx>
            <c:rich>
              <a:bodyPr/>
              <a:lstStyle/>
              <a:p>
                <a:pPr>
                  <a:defRPr/>
                </a:pPr>
                <a:r>
                  <a:rPr lang="en-US"/>
                  <a:t>Elevation (mean sea level)</a:t>
                </a:r>
              </a:p>
            </c:rich>
          </c:tx>
          <c:layout/>
        </c:title>
        <c:numFmt formatCode="General" sourceLinked="1"/>
        <c:tickLblPos val="nextTo"/>
        <c:crossAx val="683813816"/>
        <c:crosses val="autoZero"/>
        <c:crossBetween val="between"/>
      </c:valAx>
      <c:valAx>
        <c:axId val="683749528"/>
        <c:scaling>
          <c:orientation val="minMax"/>
          <c:min val="4.5"/>
        </c:scaling>
        <c:axPos val="r"/>
        <c:title>
          <c:tx>
            <c:rich>
              <a:bodyPr/>
              <a:lstStyle/>
              <a:p>
                <a:pPr>
                  <a:defRPr/>
                </a:pPr>
                <a:r>
                  <a:rPr lang="en-US"/>
                  <a:t>Discharge (cubic feet per second)</a:t>
                </a:r>
              </a:p>
            </c:rich>
          </c:tx>
          <c:layout/>
        </c:title>
        <c:numFmt formatCode="General" sourceLinked="1"/>
        <c:tickLblPos val="nextTo"/>
        <c:crossAx val="683758808"/>
        <c:crosses val="max"/>
        <c:crossBetween val="between"/>
      </c:valAx>
      <c:dateAx>
        <c:axId val="683758808"/>
        <c:scaling>
          <c:orientation val="minMax"/>
        </c:scaling>
        <c:delete val="1"/>
        <c:axPos val="b"/>
        <c:numFmt formatCode="m/d/yy" sourceLinked="1"/>
        <c:tickLblPos val="nextTo"/>
        <c:crossAx val="683749528"/>
        <c:crosses val="autoZero"/>
        <c:auto val="1"/>
        <c:lblOffset val="100"/>
      </c:dateAx>
    </c:plotArea>
    <c:legend>
      <c:legendPos val="r"/>
      <c:layout>
        <c:manualLayout>
          <c:xMode val="edge"/>
          <c:yMode val="edge"/>
          <c:x val="0.777777777777778"/>
          <c:y val="0.434714729939047"/>
          <c:w val="0.185990338164251"/>
          <c:h val="0.193620585328701"/>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9459</Words>
  <Characters>49600</Characters>
  <Application>Microsoft Macintosh Word</Application>
  <DocSecurity>0</DocSecurity>
  <Lines>1254</Lines>
  <Paragraphs>290</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The Llano River plays a critical role in the historical, economic, cultural, and environmental story of Central Texas</vt:lpstr>
      <vt:lpstr/>
      <vt:lpstr/>
      <vt:lpstr>    The Headwaters of the Llano</vt:lpstr>
      <vt:lpstr>    </vt:lpstr>
      <vt:lpstr/>
      <vt:lpstr/>
      <vt:lpstr/>
      <vt:lpstr/>
      <vt:lpstr/>
      <vt:lpstr>Summary</vt:lpstr>
      <vt:lpstr>Introduction</vt:lpstr>
      <vt:lpstr>General Description</vt:lpstr>
      <vt:lpstr>Water Resources</vt:lpstr>
      <vt:lpstr>    </vt:lpstr>
      <vt:lpstr>    /</vt:lpstr>
      <vt:lpstr>    During the summer months, when little precipitation occurs in the area, the majo</vt:lpstr>
      <vt:lpstr>    Both the North and South Llano watersheds are subject to intense flooding. The l</vt:lpstr>
      <vt:lpstr>    Springs</vt:lpstr>
      <vt:lpstr>    Source of the Springs </vt:lpstr>
      <vt:lpstr>    Water Use</vt:lpstr>
      <vt:lpstr>    Water Quality</vt:lpstr>
      <vt:lpstr/>
      <vt:lpstr>Habitats</vt:lpstr>
      <vt:lpstr>    Aquatic</vt:lpstr>
      <vt:lpstr>    Terrestrial</vt:lpstr>
      <vt:lpstr>    Riparian</vt:lpstr>
      <vt:lpstr>Land Use</vt:lpstr>
      <vt:lpstr>    Land Stewardship and Brush Management </vt:lpstr>
      <vt:lpstr>    Fragmentation</vt:lpstr>
      <vt:lpstr>Water Management</vt:lpstr>
      <vt:lpstr>    Groundwater Conservation Districts</vt:lpstr>
      <vt:lpstr>    Groundwater Management Area Joint-Planning Process</vt:lpstr>
      <vt:lpstr>    Regional Water Planning</vt:lpstr>
      <vt:lpstr>    Lower Colorado River Authority (LCRA)</vt:lpstr>
      <vt:lpstr>    National Resource Conservation Service (NRCS)</vt:lpstr>
      <vt:lpstr>    Texas Parks and Wildlife Department (TPWD)</vt:lpstr>
      <vt:lpstr>Notes and References</vt:lpstr>
    </vt:vector>
  </TitlesOfParts>
  <Manager/>
  <Company> </Company>
  <LinksUpToDate>false</LinksUpToDate>
  <CharactersWithSpaces>58959</CharactersWithSpaces>
  <SharedDoc>false</SharedDoc>
  <HyperlinkBase/>
  <HLinks>
    <vt:vector size="252" baseType="variant">
      <vt:variant>
        <vt:i4>1441806</vt:i4>
      </vt:variant>
      <vt:variant>
        <vt:i4>56</vt:i4>
      </vt:variant>
      <vt:variant>
        <vt:i4>0</vt:i4>
      </vt:variant>
      <vt:variant>
        <vt:i4>5</vt:i4>
      </vt:variant>
      <vt:variant>
        <vt:lpwstr/>
      </vt:variant>
      <vt:variant>
        <vt:lpwstr>_Toc208652455</vt:lpwstr>
      </vt:variant>
      <vt:variant>
        <vt:i4>1441807</vt:i4>
      </vt:variant>
      <vt:variant>
        <vt:i4>50</vt:i4>
      </vt:variant>
      <vt:variant>
        <vt:i4>0</vt:i4>
      </vt:variant>
      <vt:variant>
        <vt:i4>5</vt:i4>
      </vt:variant>
      <vt:variant>
        <vt:lpwstr/>
      </vt:variant>
      <vt:variant>
        <vt:lpwstr>_Toc208652454</vt:lpwstr>
      </vt:variant>
      <vt:variant>
        <vt:i4>1441800</vt:i4>
      </vt:variant>
      <vt:variant>
        <vt:i4>44</vt:i4>
      </vt:variant>
      <vt:variant>
        <vt:i4>0</vt:i4>
      </vt:variant>
      <vt:variant>
        <vt:i4>5</vt:i4>
      </vt:variant>
      <vt:variant>
        <vt:lpwstr/>
      </vt:variant>
      <vt:variant>
        <vt:lpwstr>_Toc208652453</vt:lpwstr>
      </vt:variant>
      <vt:variant>
        <vt:i4>1441801</vt:i4>
      </vt:variant>
      <vt:variant>
        <vt:i4>38</vt:i4>
      </vt:variant>
      <vt:variant>
        <vt:i4>0</vt:i4>
      </vt:variant>
      <vt:variant>
        <vt:i4>5</vt:i4>
      </vt:variant>
      <vt:variant>
        <vt:lpwstr/>
      </vt:variant>
      <vt:variant>
        <vt:lpwstr>_Toc208652452</vt:lpwstr>
      </vt:variant>
      <vt:variant>
        <vt:i4>1441802</vt:i4>
      </vt:variant>
      <vt:variant>
        <vt:i4>32</vt:i4>
      </vt:variant>
      <vt:variant>
        <vt:i4>0</vt:i4>
      </vt:variant>
      <vt:variant>
        <vt:i4>5</vt:i4>
      </vt:variant>
      <vt:variant>
        <vt:lpwstr/>
      </vt:variant>
      <vt:variant>
        <vt:lpwstr>_Toc208652451</vt:lpwstr>
      </vt:variant>
      <vt:variant>
        <vt:i4>1441803</vt:i4>
      </vt:variant>
      <vt:variant>
        <vt:i4>26</vt:i4>
      </vt:variant>
      <vt:variant>
        <vt:i4>0</vt:i4>
      </vt:variant>
      <vt:variant>
        <vt:i4>5</vt:i4>
      </vt:variant>
      <vt:variant>
        <vt:lpwstr/>
      </vt:variant>
      <vt:variant>
        <vt:lpwstr>_Toc208652450</vt:lpwstr>
      </vt:variant>
      <vt:variant>
        <vt:i4>1507330</vt:i4>
      </vt:variant>
      <vt:variant>
        <vt:i4>20</vt:i4>
      </vt:variant>
      <vt:variant>
        <vt:i4>0</vt:i4>
      </vt:variant>
      <vt:variant>
        <vt:i4>5</vt:i4>
      </vt:variant>
      <vt:variant>
        <vt:lpwstr/>
      </vt:variant>
      <vt:variant>
        <vt:lpwstr>_Toc208652449</vt:lpwstr>
      </vt:variant>
      <vt:variant>
        <vt:i4>1507331</vt:i4>
      </vt:variant>
      <vt:variant>
        <vt:i4>14</vt:i4>
      </vt:variant>
      <vt:variant>
        <vt:i4>0</vt:i4>
      </vt:variant>
      <vt:variant>
        <vt:i4>5</vt:i4>
      </vt:variant>
      <vt:variant>
        <vt:lpwstr/>
      </vt:variant>
      <vt:variant>
        <vt:lpwstr>_Toc208652448</vt:lpwstr>
      </vt:variant>
      <vt:variant>
        <vt:i4>1507340</vt:i4>
      </vt:variant>
      <vt:variant>
        <vt:i4>8</vt:i4>
      </vt:variant>
      <vt:variant>
        <vt:i4>0</vt:i4>
      </vt:variant>
      <vt:variant>
        <vt:i4>5</vt:i4>
      </vt:variant>
      <vt:variant>
        <vt:lpwstr/>
      </vt:variant>
      <vt:variant>
        <vt:lpwstr>_Toc208652447</vt:lpwstr>
      </vt:variant>
      <vt:variant>
        <vt:i4>5046340</vt:i4>
      </vt:variant>
      <vt:variant>
        <vt:i4>3</vt:i4>
      </vt:variant>
      <vt:variant>
        <vt:i4>0</vt:i4>
      </vt:variant>
      <vt:variant>
        <vt:i4>5</vt:i4>
      </vt:variant>
      <vt:variant>
        <vt:lpwstr>http://www.texaswatermatters.org/southllanoriver</vt:lpwstr>
      </vt:variant>
      <vt:variant>
        <vt:lpwstr/>
      </vt:variant>
      <vt:variant>
        <vt:i4>4259960</vt:i4>
      </vt:variant>
      <vt:variant>
        <vt:i4>90</vt:i4>
      </vt:variant>
      <vt:variant>
        <vt:i4>0</vt:i4>
      </vt:variant>
      <vt:variant>
        <vt:i4>5</vt:i4>
      </vt:variant>
      <vt:variant>
        <vt:lpwstr>http://towma.org/</vt:lpwstr>
      </vt:variant>
      <vt:variant>
        <vt:lpwstr/>
      </vt:variant>
      <vt:variant>
        <vt:i4>5898336</vt:i4>
      </vt:variant>
      <vt:variant>
        <vt:i4>87</vt:i4>
      </vt:variant>
      <vt:variant>
        <vt:i4>0</vt:i4>
      </vt:variant>
      <vt:variant>
        <vt:i4>5</vt:i4>
      </vt:variant>
      <vt:variant>
        <vt:lpwstr>http://llanoriverassociation.org/</vt:lpwstr>
      </vt:variant>
      <vt:variant>
        <vt:lpwstr/>
      </vt:variant>
      <vt:variant>
        <vt:i4>3670079</vt:i4>
      </vt:variant>
      <vt:variant>
        <vt:i4>84</vt:i4>
      </vt:variant>
      <vt:variant>
        <vt:i4>0</vt:i4>
      </vt:variant>
      <vt:variant>
        <vt:i4>5</vt:i4>
      </vt:variant>
      <vt:variant>
        <vt:lpwstr>http://www.sanmarcosriver.org/</vt:lpwstr>
      </vt:variant>
      <vt:variant>
        <vt:lpwstr/>
      </vt:variant>
      <vt:variant>
        <vt:i4>327685</vt:i4>
      </vt:variant>
      <vt:variant>
        <vt:i4>81</vt:i4>
      </vt:variant>
      <vt:variant>
        <vt:i4>0</vt:i4>
      </vt:variant>
      <vt:variant>
        <vt:i4>5</vt:i4>
      </vt:variant>
      <vt:variant>
        <vt:lpwstr>http://www.tpwmagazine.com/archive/2005/jul/ed_2/</vt:lpwstr>
      </vt:variant>
      <vt:variant>
        <vt:lpwstr/>
      </vt:variant>
      <vt:variant>
        <vt:i4>720905</vt:i4>
      </vt:variant>
      <vt:variant>
        <vt:i4>78</vt:i4>
      </vt:variant>
      <vt:variant>
        <vt:i4>0</vt:i4>
      </vt:variant>
      <vt:variant>
        <vt:i4>5</vt:i4>
      </vt:variant>
      <vt:variant>
        <vt:lpwstr>http://ecommons.txstate.edu/cgi/viewcontent.cgi?article=1004&amp;context=bioltad</vt:lpwstr>
      </vt:variant>
      <vt:variant>
        <vt:lpwstr/>
      </vt:variant>
      <vt:variant>
        <vt:i4>8061003</vt:i4>
      </vt:variant>
      <vt:variant>
        <vt:i4>75</vt:i4>
      </vt:variant>
      <vt:variant>
        <vt:i4>0</vt:i4>
      </vt:variant>
      <vt:variant>
        <vt:i4>5</vt:i4>
      </vt:variant>
      <vt:variant>
        <vt:lpwstr>http://www.gbra.org/Documents/Reports/TreeRingStudy.pdf</vt:lpwstr>
      </vt:variant>
      <vt:variant>
        <vt:lpwstr/>
      </vt:variant>
      <vt:variant>
        <vt:i4>3342341</vt:i4>
      </vt:variant>
      <vt:variant>
        <vt:i4>72</vt:i4>
      </vt:variant>
      <vt:variant>
        <vt:i4>0</vt:i4>
      </vt:variant>
      <vt:variant>
        <vt:i4>5</vt:i4>
      </vt:variant>
      <vt:variant>
        <vt:lpwstr>http://www.twdb.state.tx.us/gam/eddt_p/eddt_p.htm</vt:lpwstr>
      </vt:variant>
      <vt:variant>
        <vt:lpwstr/>
      </vt:variant>
      <vt:variant>
        <vt:i4>1441802</vt:i4>
      </vt:variant>
      <vt:variant>
        <vt:i4>69</vt:i4>
      </vt:variant>
      <vt:variant>
        <vt:i4>0</vt:i4>
      </vt:variant>
      <vt:variant>
        <vt:i4>5</vt:i4>
      </vt:variant>
      <vt:variant>
        <vt:lpwstr>http://www.tpwmagazine.com/archive/2008/jan/ed_5/</vt:lpwstr>
      </vt:variant>
      <vt:variant>
        <vt:lpwstr/>
      </vt:variant>
      <vt:variant>
        <vt:i4>983064</vt:i4>
      </vt:variant>
      <vt:variant>
        <vt:i4>66</vt:i4>
      </vt:variant>
      <vt:variant>
        <vt:i4>0</vt:i4>
      </vt:variant>
      <vt:variant>
        <vt:i4>5</vt:i4>
      </vt:variant>
      <vt:variant>
        <vt:lpwstr>http://www.nature.org/wherewework/northamerica/states/texas/press/press2970.html</vt:lpwstr>
      </vt:variant>
      <vt:variant>
        <vt:lpwstr/>
      </vt:variant>
      <vt:variant>
        <vt:i4>4784252</vt:i4>
      </vt:variant>
      <vt:variant>
        <vt:i4>63</vt:i4>
      </vt:variant>
      <vt:variant>
        <vt:i4>0</vt:i4>
      </vt:variant>
      <vt:variant>
        <vt:i4>5</vt:i4>
      </vt:variant>
      <vt:variant>
        <vt:lpwstr>http://www.tsswcb.state.tx.us/managementprogram/txwsp</vt:lpwstr>
      </vt:variant>
      <vt:variant>
        <vt:lpwstr/>
      </vt:variant>
      <vt:variant>
        <vt:i4>5636159</vt:i4>
      </vt:variant>
      <vt:variant>
        <vt:i4>60</vt:i4>
      </vt:variant>
      <vt:variant>
        <vt:i4>0</vt:i4>
      </vt:variant>
      <vt:variant>
        <vt:i4>5</vt:i4>
      </vt:variant>
      <vt:variant>
        <vt:lpwstr>http://www.tpwd.state.tx.us/newsmedia/releases/?req=20080523b</vt:lpwstr>
      </vt:variant>
      <vt:variant>
        <vt:lpwstr/>
      </vt:variant>
      <vt:variant>
        <vt:i4>1572972</vt:i4>
      </vt:variant>
      <vt:variant>
        <vt:i4>57</vt:i4>
      </vt:variant>
      <vt:variant>
        <vt:i4>0</vt:i4>
      </vt:variant>
      <vt:variant>
        <vt:i4>5</vt:i4>
      </vt:variant>
      <vt:variant>
        <vt:lpwstr>http://www.twdb.state.tx.us/rwpg/2006_RWP/RegionJ/Complete_Text.pdf</vt:lpwstr>
      </vt:variant>
      <vt:variant>
        <vt:lpwstr/>
      </vt:variant>
      <vt:variant>
        <vt:i4>2424888</vt:i4>
      </vt:variant>
      <vt:variant>
        <vt:i4>54</vt:i4>
      </vt:variant>
      <vt:variant>
        <vt:i4>0</vt:i4>
      </vt:variant>
      <vt:variant>
        <vt:i4>5</vt:i4>
      </vt:variant>
      <vt:variant>
        <vt:lpwstr>http://www.twdb.state.tx.us/rwpg/2006_RWP/RegionF/pdf</vt:lpwstr>
      </vt:variant>
      <vt:variant>
        <vt:lpwstr/>
      </vt:variant>
      <vt:variant>
        <vt:i4>3735619</vt:i4>
      </vt:variant>
      <vt:variant>
        <vt:i4>51</vt:i4>
      </vt:variant>
      <vt:variant>
        <vt:i4>0</vt:i4>
      </vt:variant>
      <vt:variant>
        <vt:i4>5</vt:i4>
      </vt:variant>
      <vt:variant>
        <vt:lpwstr>http://www.twdb.state.tx.us/gam/GAMruns/GR07-32.pdf</vt:lpwstr>
      </vt:variant>
      <vt:variant>
        <vt:lpwstr/>
      </vt:variant>
      <vt:variant>
        <vt:i4>3801154</vt:i4>
      </vt:variant>
      <vt:variant>
        <vt:i4>48</vt:i4>
      </vt:variant>
      <vt:variant>
        <vt:i4>0</vt:i4>
      </vt:variant>
      <vt:variant>
        <vt:i4>5</vt:i4>
      </vt:variant>
      <vt:variant>
        <vt:lpwstr>http://www.twdb.state.tx.us/gam/GAMruns/GR07-03.pdf</vt:lpwstr>
      </vt:variant>
      <vt:variant>
        <vt:lpwstr/>
      </vt:variant>
      <vt:variant>
        <vt:i4>4128845</vt:i4>
      </vt:variant>
      <vt:variant>
        <vt:i4>45</vt:i4>
      </vt:variant>
      <vt:variant>
        <vt:i4>0</vt:i4>
      </vt:variant>
      <vt:variant>
        <vt:i4>5</vt:i4>
      </vt:variant>
      <vt:variant>
        <vt:lpwstr>http://irnr.tamu.edu/pdf/tx_rural_lands.pdf</vt:lpwstr>
      </vt:variant>
      <vt:variant>
        <vt:lpwstr/>
      </vt:variant>
      <vt:variant>
        <vt:i4>3276800</vt:i4>
      </vt:variant>
      <vt:variant>
        <vt:i4>42</vt:i4>
      </vt:variant>
      <vt:variant>
        <vt:i4>0</vt:i4>
      </vt:variant>
      <vt:variant>
        <vt:i4>5</vt:i4>
      </vt:variant>
      <vt:variant>
        <vt:lpwstr>http://www.farmland.org/resources/reports/texas/fragmentation_GoingGoingGone.pdf</vt:lpwstr>
      </vt:variant>
      <vt:variant>
        <vt:lpwstr/>
      </vt:variant>
      <vt:variant>
        <vt:i4>458817</vt:i4>
      </vt:variant>
      <vt:variant>
        <vt:i4>39</vt:i4>
      </vt:variant>
      <vt:variant>
        <vt:i4>0</vt:i4>
      </vt:variant>
      <vt:variant>
        <vt:i4>5</vt:i4>
      </vt:variant>
      <vt:variant>
        <vt:lpwstr>http://rangeland.tamu.edu/people/wilcox/Publications/003.pdf</vt:lpwstr>
      </vt:variant>
      <vt:variant>
        <vt:lpwstr/>
      </vt:variant>
      <vt:variant>
        <vt:i4>7602191</vt:i4>
      </vt:variant>
      <vt:variant>
        <vt:i4>36</vt:i4>
      </vt:variant>
      <vt:variant>
        <vt:i4>0</vt:i4>
      </vt:variant>
      <vt:variant>
        <vt:i4>5</vt:i4>
      </vt:variant>
      <vt:variant>
        <vt:lpwstr>http://www.nature.org/wherewework/northamerica/states/texas/files/edwardsplateauexecsum.pdf</vt:lpwstr>
      </vt:variant>
      <vt:variant>
        <vt:lpwstr/>
      </vt:variant>
      <vt:variant>
        <vt:i4>1769486</vt:i4>
      </vt:variant>
      <vt:variant>
        <vt:i4>33</vt:i4>
      </vt:variant>
      <vt:variant>
        <vt:i4>0</vt:i4>
      </vt:variant>
      <vt:variant>
        <vt:i4>5</vt:i4>
      </vt:variant>
      <vt:variant>
        <vt:lpwstr>http://www.twdb.state.tx.us/publications/reports/GroundwaterReports/GWDatabaseReports/Gwdata</vt:lpwstr>
      </vt:variant>
      <vt:variant>
        <vt:lpwstr/>
      </vt:variant>
      <vt:variant>
        <vt:i4>7667754</vt:i4>
      </vt:variant>
      <vt:variant>
        <vt:i4>30</vt:i4>
      </vt:variant>
      <vt:variant>
        <vt:i4>0</vt:i4>
      </vt:variant>
      <vt:variant>
        <vt:i4>5</vt:i4>
      </vt:variant>
      <vt:variant>
        <vt:lpwstr>http://www.tceq.state.tx.us/comm_exec/forms_pubs/pubs/gi/gi-034.html</vt:lpwstr>
      </vt:variant>
      <vt:variant>
        <vt:lpwstr/>
      </vt:variant>
      <vt:variant>
        <vt:i4>5636192</vt:i4>
      </vt:variant>
      <vt:variant>
        <vt:i4>27</vt:i4>
      </vt:variant>
      <vt:variant>
        <vt:i4>0</vt:i4>
      </vt:variant>
      <vt:variant>
        <vt:i4>5</vt:i4>
      </vt:variant>
      <vt:variant>
        <vt:lpwstr>http://waterquality.lcra.org/sitelist.asp</vt:lpwstr>
      </vt:variant>
      <vt:variant>
        <vt:lpwstr/>
      </vt:variant>
      <vt:variant>
        <vt:i4>1507451</vt:i4>
      </vt:variant>
      <vt:variant>
        <vt:i4>24</vt:i4>
      </vt:variant>
      <vt:variant>
        <vt:i4>0</vt:i4>
      </vt:variant>
      <vt:variant>
        <vt:i4>5</vt:i4>
      </vt:variant>
      <vt:variant>
        <vt:lpwstr>http://waterdata.usgs.gov/nwis/dv/?site_no=08151500&amp;amp;referred_module=sw.</vt:lpwstr>
      </vt:variant>
      <vt:variant>
        <vt:lpwstr/>
      </vt:variant>
      <vt:variant>
        <vt:i4>2293797</vt:i4>
      </vt:variant>
      <vt:variant>
        <vt:i4>21</vt:i4>
      </vt:variant>
      <vt:variant>
        <vt:i4>0</vt:i4>
      </vt:variant>
      <vt:variant>
        <vt:i4>5</vt:i4>
      </vt:variant>
      <vt:variant>
        <vt:lpwstr>http://www.twdb.state.tx.us/publications/reports/GroundwaterReports/GWDatabaseReports/Database Reports/Edwards/Record of Wells.pdf</vt:lpwstr>
      </vt:variant>
      <vt:variant>
        <vt:lpwstr/>
      </vt:variant>
      <vt:variant>
        <vt:i4>4456477</vt:i4>
      </vt:variant>
      <vt:variant>
        <vt:i4>18</vt:i4>
      </vt:variant>
      <vt:variant>
        <vt:i4>0</vt:i4>
      </vt:variant>
      <vt:variant>
        <vt:i4>5</vt:i4>
      </vt:variant>
      <vt:variant>
        <vt:lpwstr>http://www.twdb.state.tx.us/publications/reports/GroundWaterReports/GWReports/Individual Report htm files/Report 235.htm</vt:lpwstr>
      </vt:variant>
      <vt:variant>
        <vt:lpwstr/>
      </vt:variant>
      <vt:variant>
        <vt:i4>2424939</vt:i4>
      </vt:variant>
      <vt:variant>
        <vt:i4>15</vt:i4>
      </vt:variant>
      <vt:variant>
        <vt:i4>0</vt:i4>
      </vt:variant>
      <vt:variant>
        <vt:i4>5</vt:i4>
      </vt:variant>
      <vt:variant>
        <vt:lpwstr>http://pubs.er.usgs.gov/usgspubs/wri/wri934039</vt:lpwstr>
      </vt:variant>
      <vt:variant>
        <vt:lpwstr/>
      </vt:variant>
      <vt:variant>
        <vt:i4>2949224</vt:i4>
      </vt:variant>
      <vt:variant>
        <vt:i4>12</vt:i4>
      </vt:variant>
      <vt:variant>
        <vt:i4>0</vt:i4>
      </vt:variant>
      <vt:variant>
        <vt:i4>5</vt:i4>
      </vt:variant>
      <vt:variant>
        <vt:lpwstr>http://pubs.er.usgs.gov/usgspubs/wri/wri884218</vt:lpwstr>
      </vt:variant>
      <vt:variant>
        <vt:lpwstr/>
      </vt:variant>
      <vt:variant>
        <vt:i4>1376339</vt:i4>
      </vt:variant>
      <vt:variant>
        <vt:i4>9</vt:i4>
      </vt:variant>
      <vt:variant>
        <vt:i4>0</vt:i4>
      </vt:variant>
      <vt:variant>
        <vt:i4>5</vt:i4>
      </vt:variant>
      <vt:variant>
        <vt:lpwstr>http://pubs.er.usgs.gov/usgspubs/ofr/ofr0268</vt:lpwstr>
      </vt:variant>
      <vt:variant>
        <vt:lpwstr/>
      </vt:variant>
      <vt:variant>
        <vt:i4>1900643</vt:i4>
      </vt:variant>
      <vt:variant>
        <vt:i4>6</vt:i4>
      </vt:variant>
      <vt:variant>
        <vt:i4>0</vt:i4>
      </vt:variant>
      <vt:variant>
        <vt:i4>5</vt:i4>
      </vt:variant>
      <vt:variant>
        <vt:lpwstr>http://pubs.er.usgs.gov/usgspubs/ofr/ofr03315</vt:lpwstr>
      </vt:variant>
      <vt:variant>
        <vt:lpwstr/>
      </vt:variant>
      <vt:variant>
        <vt:i4>1441872</vt:i4>
      </vt:variant>
      <vt:variant>
        <vt:i4>3</vt:i4>
      </vt:variant>
      <vt:variant>
        <vt:i4>0</vt:i4>
      </vt:variant>
      <vt:variant>
        <vt:i4>5</vt:i4>
      </vt:variant>
      <vt:variant>
        <vt:lpwstr>http://waterdata.usgs.gov/nwis/dv/?site_no=08150000&amp;amp;referred_module=sw</vt:lpwstr>
      </vt:variant>
      <vt:variant>
        <vt:lpwstr/>
      </vt:variant>
      <vt:variant>
        <vt:i4>2883621</vt:i4>
      </vt:variant>
      <vt:variant>
        <vt:i4>0</vt:i4>
      </vt:variant>
      <vt:variant>
        <vt:i4>0</vt:i4>
      </vt:variant>
      <vt:variant>
        <vt:i4>5</vt:i4>
      </vt:variant>
      <vt:variant>
        <vt:lpwstr>http://www.twdb.state.tx.us/publications/reports/GroundWaterReports/GWReports/R60AEPC/Ch02.pdf</vt:lpwstr>
      </vt:variant>
      <vt:variant>
        <vt:lpwstr/>
      </vt:variant>
      <vt:variant>
        <vt:i4>1179683</vt:i4>
      </vt:variant>
      <vt:variant>
        <vt:i4>-1</vt:i4>
      </vt:variant>
      <vt:variant>
        <vt:i4>1081</vt:i4>
      </vt:variant>
      <vt:variant>
        <vt:i4>1</vt:i4>
      </vt:variant>
      <vt:variant>
        <vt:lpwstr>Bass2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Llano River plays a critical role in the historical, economic, cultural, and environmental story of Central Texas</dc:title>
  <dc:subject/>
  <dc:creator>Tyson Broad</dc:creator>
  <cp:keywords/>
  <dc:description/>
  <cp:lastModifiedBy>Tyson Broad</cp:lastModifiedBy>
  <cp:revision>4</cp:revision>
  <cp:lastPrinted>2008-07-29T20:07:00Z</cp:lastPrinted>
  <dcterms:created xsi:type="dcterms:W3CDTF">2012-03-01T02:49:00Z</dcterms:created>
  <dcterms:modified xsi:type="dcterms:W3CDTF">2012-03-01T21:06:00Z</dcterms:modified>
  <cp:category/>
</cp:coreProperties>
</file>